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38" w:rsidRDefault="00B93CE2" w:rsidP="00430240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025CDC01AAE4B9C98951D62199970A8" style="width:450.45pt;height:434.3pt">
            <v:imagedata r:id="rId9" o:title=""/>
          </v:shape>
        </w:pict>
      </w:r>
    </w:p>
    <w:p w:rsidR="00DA2438" w:rsidRDefault="00DA2438">
      <w:pPr>
        <w:rPr>
          <w:noProof/>
        </w:rPr>
        <w:sectPr w:rsidR="00DA2438" w:rsidSect="0043024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DA2438" w:rsidRDefault="00430240">
      <w:pPr>
        <w:pStyle w:val="Exposdesmotifstitre"/>
        <w:rPr>
          <w:noProof/>
        </w:rPr>
      </w:pPr>
      <w:r>
        <w:rPr>
          <w:noProof/>
        </w:rPr>
        <w:lastRenderedPageBreak/>
        <w:t>UZASADNIENIE</w:t>
      </w:r>
    </w:p>
    <w:p w:rsidR="00DA2438" w:rsidRDefault="00430240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KONTEKST WNIOSKU</w:t>
      </w:r>
    </w:p>
    <w:p w:rsidR="00DA2438" w:rsidRDefault="00430240"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Przyczyny i cele wniosku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W sektorze transportu drogowego unijne przepisy socjalne przyczyniają się do osiągania celów politycznych, którymi są: poprawa warunków pracy kierowców, zapewnienie uczciwej konkurencji między przedsiębiorstwami transportu drogowego oraz poprawa bezpieczeństwa wszystkich użytkowników dróg. Dostosowanie tych przepisów do potrzeb sektora i ułatwienie ich jednolitego i skutecznego stosowania i egzekwowania stanowi kluczowy element strategii Komisji mającej na celu dalszą integrację rynku przewozów drogowych w UE i zapewnienie by sektor transportu drogowego funkcjonował w sposób sprawiedliwy, skuteczny i odpowiedzialny społecznie, o czym jest mowa w białej księdze w sprawie transportu z dnia 28 marca 2011 r.</w:t>
      </w:r>
      <w:r>
        <w:rPr>
          <w:rStyle w:val="Odwoanieprzypisudolnego"/>
          <w:noProof/>
        </w:rPr>
        <w:footnoteReference w:id="1"/>
      </w:r>
      <w:r>
        <w:rPr>
          <w:noProof/>
        </w:rPr>
        <w:t xml:space="preserve">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Kluczowe przepisy socjalne odnoszące się do transportu drogowego obejmują przepisy w sprawie organizacji czasu pracy kierowców, określone w dyrektywie 2002/15/WE</w:t>
      </w:r>
      <w:r>
        <w:rPr>
          <w:rStyle w:val="Odwoanieprzypisudolnego"/>
          <w:noProof/>
        </w:rPr>
        <w:footnoteReference w:id="2"/>
      </w:r>
      <w:r>
        <w:rPr>
          <w:noProof/>
        </w:rPr>
        <w:t>, minimalne wymogi w zakresie egzekwowania tych przepisów określone w dyrektywie 2006/22/WE, przepisy dotyczące czasu prowadzenia pojazdu, przerw i okresów odpoczynku zgodnie z rozporządzeniem (WE) nr 561/2006</w:t>
      </w:r>
      <w:r>
        <w:rPr>
          <w:rStyle w:val="Odwoanieprzypisudolnego"/>
          <w:noProof/>
        </w:rPr>
        <w:footnoteReference w:id="3"/>
      </w:r>
      <w:r>
        <w:rPr>
          <w:noProof/>
        </w:rPr>
        <w:t xml:space="preserve"> i przepisy dotyczące delegowania pracowników, ustanowione w dyrektywie 96/71/WE</w:t>
      </w:r>
      <w:r>
        <w:rPr>
          <w:rStyle w:val="Odwoanieprzypisudolnego"/>
          <w:noProof/>
        </w:rPr>
        <w:footnoteReference w:id="4"/>
      </w:r>
      <w:r>
        <w:rPr>
          <w:noProof/>
        </w:rPr>
        <w:t xml:space="preserve"> i dyrektywie o egzekwowaniu 2014/67/UE</w:t>
      </w:r>
      <w:r>
        <w:rPr>
          <w:rStyle w:val="Odwoanieprzypisudolnego"/>
          <w:noProof/>
        </w:rPr>
        <w:footnoteReference w:id="5"/>
      </w:r>
      <w:r>
        <w:rPr>
          <w:noProof/>
        </w:rPr>
        <w:t xml:space="preserve">. Te akty prawne stanowią część szerzej zakrojonych wysiłków mających na celu poprawę warunków pracy kierowców, zapewnienie uczciwej konkurencji między poszczególnymi przewoźnikami oraz poprawę bezpieczeństwa na drogach europejskich, a także zapewnienie równowagi między ochroną socjalną kierowców a swobodą świadczenia usług transgranicznych przez przewoźników. </w:t>
      </w:r>
    </w:p>
    <w:p w:rsidR="00DA2438" w:rsidRDefault="00430240">
      <w:pPr>
        <w:snapToGrid w:val="0"/>
        <w:spacing w:before="0"/>
        <w:rPr>
          <w:noProof/>
        </w:rPr>
      </w:pPr>
      <w:r>
        <w:rPr>
          <w:noProof/>
        </w:rPr>
        <w:t xml:space="preserve">W wyniku oceny </w:t>
      </w:r>
      <w:r>
        <w:rPr>
          <w:i/>
          <w:noProof/>
        </w:rPr>
        <w:t>ex post</w:t>
      </w:r>
      <w:r>
        <w:rPr>
          <w:noProof/>
        </w:rPr>
        <w:t xml:space="preserve"> przepisów prawa socjalnego w transporcie drogowym i ich egzekwowania, przeprowadzonej w latach 2015–2017</w:t>
      </w:r>
      <w:r>
        <w:rPr>
          <w:rStyle w:val="Odwoanieprzypisudolnego"/>
          <w:noProof/>
        </w:rPr>
        <w:footnoteReference w:id="6"/>
      </w:r>
      <w:r>
        <w:rPr>
          <w:noProof/>
        </w:rPr>
        <w:t xml:space="preserve"> w ramach programu sprawności i wydajności regulacyjnej (REFIT), stwierdzono, że obowiązujące przepisy nie stanowią skutecznej i efektywnej odpowiedzi na ryzyko pogorszenia się warunków pracy i zakłócenia konkurencji. Jest to spowodowane niedociągnięciami w ramach prawnych. Niektóre przepisy są niejasne, nieodpowiednie lub trudne do wprowadzenia w życie lub egzekwowania, co prowadzi do różnic między państwami członkowskimi w realizacji wspólnych zasad i stwarza ryzyko rozdrobnienia rynku wewnętrznego. </w:t>
      </w:r>
    </w:p>
    <w:p w:rsidR="00DA2438" w:rsidRDefault="00430240">
      <w:pPr>
        <w:snapToGrid w:val="0"/>
        <w:rPr>
          <w:i/>
          <w:noProof/>
        </w:rPr>
      </w:pPr>
      <w:r>
        <w:rPr>
          <w:noProof/>
        </w:rPr>
        <w:t xml:space="preserve">Analiza problemów w terenie wykazuje w szczególności, że należy zająć się w trybie pilnym różnicami w interpretowaniu i stosowaniu dyrektyw 96/71/WE i 2014/67/UE w odniesieniu do sektora transportu drogowego. W ocenie skutków uzupełniającej niniejszy wniosek legislacyjny stwierdzono, że przepisy dotyczące delegowania i wymogi administracyjne nie są dopasowane do wysoce mobilnego charakteru pracy kierowców w międzynarodowym transporcie drogowym. Prowadzi to do nieproporcjonalnych obciążeń regulacyjnych dla przewoźników i stwarza nieuzasadnione przeszkody w świadczeniu usług transgranicznych. </w:t>
      </w:r>
      <w:r>
        <w:rPr>
          <w:noProof/>
        </w:rPr>
        <w:lastRenderedPageBreak/>
        <w:t>Prawne i praktyczne trudności w stosowaniu zasad delegowania pracowników sektora transportu drogowego zostały podkreślone w motywie (10) wniosku Komisji z dnia 8 marca 2016 r.</w:t>
      </w:r>
      <w:r>
        <w:rPr>
          <w:rStyle w:val="Odwoanieprzypisudolnego"/>
          <w:noProof/>
        </w:rPr>
        <w:footnoteReference w:id="7"/>
      </w:r>
      <w:r>
        <w:rPr>
          <w:noProof/>
        </w:rPr>
        <w:t xml:space="preserve"> dotyczącego zmiany dyrektywy 96/71/WE: </w:t>
      </w:r>
      <w:r>
        <w:rPr>
          <w:i/>
          <w:noProof/>
        </w:rPr>
        <w:t>Z uwagi na wysoce mobilny charakter pracy w międzynarodowym transporcie drogowym wdrożenie dyrektywy o delegowaniu pracowników budzi szczególne wątpliwości i problemy prawne, zwłaszcza w przypadkach, w których związek z danym państwem członkowskim jest niewystarczający. Najwłaściwsze byłoby, aby kwestie te zostały ujęte w przepisach dotyczących poszczególnych sektorów oraz w innych unijnych inicjatywach ukierunkowanych na funkcjonowanie wewnętrznego rynku transportu drogowego.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Niniejszy wniosek przewiduje całościowe podejście do zagrożeń związanych z nieodpowiednimi warunkami pracy dla kierowców, w tym warunkami zatrudnienia i pracy, łagodząc jednocześnie nadmierne obciążenia regulacyjne dla przewoźników i zapobiegając zakłóceniom konkurencji. Nadrzędnym celem jest zapewnienie równowagi między odpowiednimi warunkami pracy dla kierowców a swobodą transgranicznego świadczenia usług dla operatorów. 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Spójność z przepisami obowiązującymi w tej dziedzinie polityki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Niniejszy wniosek stanowi część szerszego przeglądu unijnego prawodawstwa dotyczącego transportu drogowego. Jest on ściśle związany z inicjatywą mającą na celu poprawę jasności i adekwatności przepisów dotyczących czasu prowadzenia pojazdu, przerw i okresów odpoczynku określonych w rozporządzeniu (WE) nr 561/2006 oraz przepisów dotyczących wykorzystywania tachografów, określonych w rozporządzeniu (UE) nr 165/2014. Jest on również powiązany z trwającym przeglądem zasad rynkowych dotyczących dostępu do zawodu przewoźnika drogowego (rozporządzenie (WE) nr 1071/2009), dostępu do rynku międzynarodowych przewozów drogowych (rozporządzenie (WE) nr 1072/2009) i dostępu do rynku międzynarodowych przewozów pasażerskich (rozporządzenie (WE) nr 1073/2009). Przepisy socjalne i rynkowe stanowią kompletne i spójne ramy prawne i ich egzekwowanie w konsekwentny i skuteczny sposób jest kluczem do utworzenia sprawiedliwego, bezpiecznego oraz zrównoważonego pod względem środowiskowym i społecznym sektora transportu drogowego. Żadna z tych inicjatyw osobno nie może skutecznie sprostać bieżącym wyzwaniom społecznym i rynkowym. </w:t>
      </w:r>
    </w:p>
    <w:p w:rsidR="00DA2438" w:rsidRDefault="00430240"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>Spójność z innymi politykami Unii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Wniosek przyczynia się do realizacji dwóch priorytetów obecnej Komisji, przede wszystkim tworząc „pogłębiony i bardziej sprawiedliwy rynek wewnętrzny”, a także „miejsca pracy, wzrost i inwestycje”. Jest to spójne z działaniami mającymi na celu zwalczanie niesprawiedliwości społecznej i nieuczciwej konkurencji, a także tworzenie ram socjalnych dla nowych możliwości zatrudnienia i uczciwych warunków prowadzenia działalności gospodarczej.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Jednym z celów wniosku jest zapewnienie godnych warunków pracy i odpowiedniej ochrony socjalnej. W związku z tym pokrywa się on z celami agendy społecznej Komisji i z inicjatywą dotyczącą utworzenia unijnego filaru praw socjalnych. Jest on także zgodny z Kartą praw podstawowych Unii Europejskiej, której art. 31 przewiduje prawo do należytych i sprawiedliwych warunków pracy.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Wniosek wnosi wkład w realizację programu REFIT poprzez zmniejszenie obciążeń regulacyjnych oraz uproszczenie i dostosowanie niektórych przepisów do szczególnych </w:t>
      </w:r>
      <w:r>
        <w:rPr>
          <w:noProof/>
        </w:rPr>
        <w:lastRenderedPageBreak/>
        <w:t>potrzeb sektora. Sprawi on również, że egzekwowanie przepisów stanie się skuteczniejsze dzięki lepszemu wykorzystaniu istniejących narzędzi i systemów kontroli.</w:t>
      </w:r>
    </w:p>
    <w:p w:rsidR="00DA2438" w:rsidRDefault="00430240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PODSTAWA PRAWNA, POMOCNICZOŚĆ I PROPORCJONALNOŚĆ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Podstawa prawna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Niniejszy wniosek zmienia dyrektywę 2006/22/WE i ustanawia przepisy sektorowe dotyczące delegowania pracowników powiązane z dyrektywami 96/71/WE i 2014/67/UE.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Dyrektywa 2006/22/WE opiera się na obecnym art. 91 ust. 1 Traktatu o funkcjonowaniu Unii Europejskiej (TFUE) i ten sam przepis powinien również stanowić podstawę przepisów zmieniających tę dyrektywę.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Podstawę dyrektyw 96/71/WE i 2014/67/UE stanowi (obecny) art. 53 ust. 1 TFUE. Jednak z uwagi na fakt, że proponowane we wniosku przepisy odnoszą się wyłącznie do sytuacji w sektorze usług transportowych, zatem podstawę stanowić powinien art. 91 ust. 1 TFUE.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. 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Pomocniczość </w:t>
      </w:r>
    </w:p>
    <w:p w:rsidR="00DA2438" w:rsidRDefault="00430240">
      <w:pPr>
        <w:rPr>
          <w:noProof/>
        </w:rPr>
      </w:pPr>
      <w:r>
        <w:rPr>
          <w:noProof/>
        </w:rPr>
        <w:t>Na podstawie art. 4 ust. 2 lit. g) TFUE Unia Europejska dzieli kompetencje z państwami członkowskimi w zakresie uregulowań w dziedzinie transportu. Obowiązujące przepisy mogą jednak zostać zmienione jedynie przez prawodawcę UE.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Niedociągnięcia w obecnym prawodawstwie oznaczają, że państwa członkowskie wdrażają i egzekwują unijne przepisy socjalne w różny sposób, w tym przepisy dotyczące delegowania pracowników. Wytyczne lub samoregulacja przez państwa członkowskie nie są wystarczające do zagwarantowania, aby przepisy socjalne w transporcie drogowym były spójnie stosowane i egzekwowane w całej UE. Działanie na szczeblu UE jest zatem uzasadnione.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Proporcjonalność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Wniosek nie wykracza poza to, co jest konieczne do rozwiązania stwierdzonych problemów dotyczących nieodpowiednich warunków pracy kierowców i zakłóceń konkurencji między przewoźnikami.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Jak stwierdzono w sekcji 7.2 oceny wpływu, wniosek przedstawia wariant polityki, który uznaje się za najbardziej odpowiedni i proporcjonalny, zapewniający równowagę między poprawą warunków pracy kierowców, zmniejszeniem obciążeń regulacyjnych dla przewoźników oraz skutecznym egzekwowaniem przepisów w wymiarze transgranicznym.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Wniosek dotyczy głównie uproszczenia, wyjaśnienia i dostosowania niektórych przepisów do potrzeb sektora. We wniosku wyeliminowano niepotrzebne obciążenia administracyjne dla przewoźników oraz ma on na celu zapewnienie, by wymogi dotyczące współpracy administracyjnej i wzajemnej pomocy pomiędzy państwami członkowskimi były proporcjonalne. W ocenie skutków stwierdzono, że przewidywane środki polityczne nie będą miały nieproporcjonalnego wpływu na MŚP.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Wybór instrumentu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Ponieważ wniosek zawiera ograniczoną liczbę zmian do dyrektywy 2006/22/WE i ustanawia przepisy sektorowe dotyczące delegowania pracowników w sektorze transportu drogowego w </w:t>
      </w:r>
      <w:r>
        <w:rPr>
          <w:noProof/>
        </w:rPr>
        <w:lastRenderedPageBreak/>
        <w:t xml:space="preserve">odniesieniu do dyrektyw 96/71/WE i 2014/67/UE, wybranym instrumentem jest również dyrektywa. </w:t>
      </w:r>
    </w:p>
    <w:p w:rsidR="00DA2438" w:rsidRDefault="00430240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WYNIKI OCEN </w:t>
      </w:r>
      <w:r>
        <w:rPr>
          <w:i/>
          <w:noProof/>
        </w:rPr>
        <w:t>EX POST</w:t>
      </w:r>
      <w:r>
        <w:rPr>
          <w:noProof/>
        </w:rPr>
        <w:t>, KONSULTACJI Z ZAINTERESOWANYMI STRONAMI I OCEN SKUTKÓW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Oceny </w:t>
      </w:r>
      <w:r>
        <w:rPr>
          <w:i/>
          <w:noProof/>
        </w:rPr>
        <w:t>ex post</w:t>
      </w:r>
      <w:r>
        <w:rPr>
          <w:noProof/>
        </w:rPr>
        <w:t>/kontrole sprawności obowiązującego prawodawstwa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Dyrektywę o egzekwowaniu 2006/22/WE oraz rozporządzenie w sprawie czasu prowadzenia pojazdu (WE) nr 561/2006 i dyrektywę w sprawie czasu pracy 2002/15/WE poddano kompleksowej ocenie </w:t>
      </w:r>
      <w:r>
        <w:rPr>
          <w:i/>
          <w:noProof/>
        </w:rPr>
        <w:t>ex post</w:t>
      </w:r>
      <w:r>
        <w:rPr>
          <w:noProof/>
        </w:rPr>
        <w:t xml:space="preserve"> przeprowadzonej w latach 2015–2017</w:t>
      </w:r>
      <w:r>
        <w:rPr>
          <w:rStyle w:val="Odwoanieprzypisudolnego"/>
          <w:noProof/>
        </w:rPr>
        <w:footnoteReference w:id="8"/>
      </w:r>
      <w:r>
        <w:rPr>
          <w:noProof/>
        </w:rPr>
        <w:t>. Ocena ta została uzupełniona przez badanie zewnętrzne</w:t>
      </w:r>
      <w:r>
        <w:rPr>
          <w:rStyle w:val="Odwoanieprzypisudolnego"/>
          <w:noProof/>
        </w:rPr>
        <w:footnoteReference w:id="9"/>
      </w:r>
      <w:r>
        <w:rPr>
          <w:noProof/>
        </w:rPr>
        <w:t xml:space="preserve">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Główne zidentyfikowane problemy to: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- różnice w interpretacji i egzekwowaniu przepisów dotyczących rejestrowania okresów, w których kierowca jest poza pojazdem;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- naruszanie przepisów dotyczących czasu pracy, co skutkuje nadmiernie wydłużonym czasem pracy dla kierowców i kumulacją zmęczenia i negatywnie wpływa na zdrowie i bezpieczeństwo kierowców oraz bezpieczeństwo ruchu drogowego;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- nieskuteczne egzekwowanie przepisów dotyczących czasu pracy oraz brak jednolitych danych dotyczących monitorowania i kontroli zgodności;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- niewystarczająca współpraca administracyjna i wzajemna pomoc między państwami członkowskimi, utrudniające efektywne i spójne transgraniczne egzekwowanie przepisów;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- niespójne krajowe systemy oceny ryzyka przedsiębiorstw transportowych, co utrudnia wymianę informacji i porównanie danych w celu zapewnienia skutecznej kontroli; 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- niedostateczne wykorzystanie danych w systemach oceny ryzyka, co utrudnia skuteczne ukierunkowanie kontroli;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- brak reakcji na zagrożenia spowodowane pogorszeniem warunków pracy kierowców na skutek nieodpowiedniego systemu wynagrodzeń i ochrony socjalnej w przypadku kierowców pracujących przez długi czas poza ich krajem zatrudnienia.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Przepisy dotyczące delegowania pracowników nie były wyraźnie objęte przedmiotową oceną REFIT. Jednak trudności związane ze stosowaniem rozbieżnych środków krajowych dotyczących delegowania pracowników w sektorze transportu drogowego stanowią dowód na to, że ogólne przepisy dotyczące delegowania pracowników nie są odpowiednie dla wysoce mobilnych pracowników w sektorze transportu drogowego oraz że wymogi administracyjne są nieproporcjonalnie uciążliwe, a co za tym idzie ograniczają swobodę świadczenia usług transgranicznych.  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Konsultacje z zainteresowanymi stronami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Przeprowadzono szeroko zakrojone konsultacje z zainteresowanymi stronami w celu przygotowania niniejszego wniosku, które były zgodne z normami minimalnymi dotyczącymi </w:t>
      </w:r>
      <w:r>
        <w:rPr>
          <w:noProof/>
        </w:rPr>
        <w:lastRenderedPageBreak/>
        <w:t>konsultacji z zainteresowanymi stronami, określonymi w komunikacie Komisji z dnia 11 grudnia 2002 r. (COM(2002) 704 final).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Wszystkie grupy zainteresowanych stron wzięły udział w konsultacjach: krajowe organy, organy wykonawcze, stowarzyszenia reprezentujące przewoźników (w transporcie drogowym towarów i w transporcie pasażerskim), spedytorzy, nadawcy ładunku, MŚP, związki zawodowe, kierowcy i inni pracownicy sektora transportu drogowego. W szczególności w trakcie całego procesu przeprowadzono obszerne konsultacje z europejskimi partnerami społecznymi. Zastosowano różne otwarte i ukierunkowane metody i narzędzia konsultacji: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–</w:t>
      </w:r>
      <w:r>
        <w:rPr>
          <w:noProof/>
        </w:rPr>
        <w:tab/>
        <w:t xml:space="preserve">Podczas konferencji wysokiego szczebla w dniu 4 czerwca 2015 r. pt. „Społeczna agenda dla transportu” rozpoczęto szeroką debatę na temat społecznych aspektów transportu drogowego; wzięło w niej udział około 350 uczestników: decydentów, ekspertów w dziedzinie transportu i partnerów społecznych;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–</w:t>
      </w:r>
      <w:r>
        <w:rPr>
          <w:noProof/>
        </w:rPr>
        <w:tab/>
        <w:t>Pod koniec 2015 r. zorganizowano seminaria, na których zebrały się zainteresowane podmioty z sektora przemysłu, przedstawiciele państw członkowskich oraz partnerzy społeczni na szczeblu UE. Dyskusja skupiła się na sposobie, w jaki przepisy socjalne i prawodawstwo dotyczące rynku wewnętrznego funkcjonowały w transporcie drogowym;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–</w:t>
      </w:r>
      <w:r>
        <w:rPr>
          <w:noProof/>
        </w:rPr>
        <w:tab/>
        <w:t>W dniu 19 kwietnia 2016 r. odbyła się konferencja poświęcona transportowi drogowemu oraz warsztaty dotyczące rynku wewnętrznego i społecznych aspektów transportu drogowego. Wzięło w nich udział około 400 uczestników, w szczególności przedstawiciele państw członkowskich, członkowie Parlamentu Europejskiego i najważniejsze z zainteresowanych stron, a tematem dyskusji były cele i zakres planowanych inicjatyw drogowych;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–</w:t>
      </w:r>
      <w:r>
        <w:rPr>
          <w:noProof/>
        </w:rPr>
        <w:tab/>
        <w:t xml:space="preserve">Przeprowadzono pięć specjalnych ankiet w celu zebrania opinii krajowych ministerstw transportu (ze szczególnym naciskiem na wdrażanie i interpretowanie przepisów), organów egzekwowania prawa (nacisk położono na praktyki w zakresie egzekwowania prawa oraz koszty i korzyści związane z egzekwowaniem), przedsiębiorstw (skupiono się na wpływie przepisów na przewoźników działających na rynku), związków zawodowych (skupiono się na wpływie przepisów na kierowców) i innych zainteresowanych stron, takich jak stowarzyszenia branżowe (skoncentrowano się na przekrojowych opiniach na temat skutków prawodawstwa). Otrzymano w sumie 1 441 odpowiedzi (z czego 1 269 pochodziło od przedsiębiorstw transportu drogowego).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–</w:t>
      </w:r>
      <w:r>
        <w:rPr>
          <w:noProof/>
        </w:rPr>
        <w:tab/>
        <w:t xml:space="preserve">Przeprowadzono wywiady z 90 zainteresowanymi stronami (w tym z 37 kierowcami), aby zgromadzić informacje na temat doświadczeń zainteresowanych stron w odniesieniu do sposobu egzekwowania przepisów, skuteczności tego egzekwowania i trudności z przestrzeganiem przepisów.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–</w:t>
      </w:r>
      <w:r>
        <w:rPr>
          <w:noProof/>
        </w:rPr>
        <w:tab/>
        <w:t>W okresie od 5 września do 11 grudnia 2016 r. przeprowadzono konsultacje społeczne</w:t>
      </w:r>
      <w:r>
        <w:rPr>
          <w:rStyle w:val="Odwoanieprzypisudolnego"/>
          <w:noProof/>
        </w:rPr>
        <w:footnoteReference w:id="10"/>
      </w:r>
      <w:r>
        <w:rPr>
          <w:noProof/>
        </w:rPr>
        <w:t xml:space="preserve"> w celu zdefiniowania problemu i określenia jego potencjalnych rozwiązań. Spośród 1 378 otrzymanych odpowiedzi 1 209 pochodziło od kierowców, przewoźników, nadawców ładunków i spedytorów, a 169 od organów krajowych, organów odpowiedzialnych za egzekwowanie przepisów, organizacji pracowniczych i stowarzyszeń branżowych;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lastRenderedPageBreak/>
        <w:t>–</w:t>
      </w:r>
      <w:r>
        <w:rPr>
          <w:noProof/>
        </w:rPr>
        <w:tab/>
        <w:t xml:space="preserve">W okresie od dnia 4 listopada 2016 r. do dnia 4 stycznia 2017 r. miało miejsce badanie panelowe MŚP. W 109 przesłanych odpowiedziach MŚP przedstawiły swoje poglądy na temat celów przeglądu prawnych ram i ewentualnych rozwiązań;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– </w:t>
      </w:r>
      <w:r>
        <w:rPr>
          <w:noProof/>
        </w:rPr>
        <w:tab/>
        <w:t xml:space="preserve">Kierowcy wypełnili </w:t>
      </w:r>
      <w:r>
        <w:rPr>
          <w:caps/>
          <w:noProof/>
        </w:rPr>
        <w:t>kwestionariusz</w:t>
      </w:r>
      <w:r>
        <w:rPr>
          <w:noProof/>
        </w:rPr>
        <w:t xml:space="preserve"> online (w 345 odpowiedziach przedstawili swoje poglądy na temat potencjalnych środków, chociaż spośród tych odpowiedzi aż 140 pochodziło z Niderlandów a 127 ze Zjednoczonego Królestwa); Przeprowadzono również badanie wśród władz krajowych i krajowych organów odpowiedzialnych za egzekwowanie przepisów (otrzymano 41 odpowiedzi z 27 państw członkowskich oraz Norwegii i Szwajcarii) oraz ankietę wśród przewoźników (73 odpowiedzi, jednak również nie w pełni reprezentatywnych, gdyż 58 odpowiedzi pochodziło z Węgier);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–</w:t>
      </w:r>
      <w:r>
        <w:rPr>
          <w:noProof/>
        </w:rPr>
        <w:tab/>
        <w:t xml:space="preserve"> Przeprowadzono wywiady z 7 przedsiębiorstwami transportowymi, 9 krajowymi stowarzyszeniami branżowymi, 9 organami krajowymi, 4 krajowymi związkami zawodowymi i 6 europejskimi partnerami społecznymi. 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Informowano również regularnie europejskich partnerów społecznych i konsultowano się z nimi w trakcie spotkań dwustronnych z Komisją oraz podczas regularnych spotkań z komitetem dialogu sektorowego ds. transportu drogowego i partnerów społecznych grupy roboczej.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W wyniku działań konsultacyjnych potwierdzono, że główne problemy to: 1) nieodpowiednie warunki pracy dla kierowców; 2) zakłócenia konkurencji między przewoźnikami; oraz 3) obciążenia regulacyjne dla podmiotów gospodarczych i państw członkowskich. Do najważniejszych kwestii prawnych związanych z tymi wyzwaniami należą: niejasne lub nieodpowiednie przepisy socjalne, rozbieżne stosowanie zasad, niespójne i nieskuteczne egzekwowanie prawa i niewystarczająca współpraca administracyjna między państwami członkowskimi.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W odniesieniu do projektu środków politycznych, wszystkie zainteresowane strony wyraziły silne poparcie dla wzmocnienia egzekwowania prawa i współpracy pomiędzy organami egzekwowania prawa, choć niektóre krajowe organy wykonawcze wyraziły obawy co do potencjalnych dodatkowych kosztów egzekwowania przepisów. W szczególności krajowe organy i organizacje na szczeblu UE zajmujące się egzekwowaniem prawa wyraziły zdecydowane poparcie dla środków mających na celu harmonizację krajowych systemów oceny ryzyka i udzielenie dostępu w czasie rzeczywistym do danych w systemach oceny ryzyka (więcej niż 70 % popierających). 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Zainteresowane strony miały różne opinie na temat projektów środków dotyczących warunków delegowania w transporcie drogowym: państwa członkowskie UE-13 i przewoźnicy poparli środki z zastrzeżeniem (próg czasowy nie powinien być zbyt niski), natomiast związki zawodowe uznały środki za szkodliwe dla kierowców. Państwa członkowskie UE-15 i przewoźnicy z tych państw mieli podzielone zdania. Środek na rzecz zmniejszenia obciążeń administracyjnych przy stosowaniu zasad delegowania pracowników w transporcie drogowym uzyskał poparcie większości grup zainteresowanych stron, z wyjątkiem związków zawodowych.</w:t>
      </w:r>
    </w:p>
    <w:p w:rsidR="00DA2438" w:rsidRDefault="00430240">
      <w:pPr>
        <w:keepNext/>
        <w:tabs>
          <w:tab w:val="left" w:pos="850"/>
        </w:tabs>
        <w:ind w:left="850" w:hanging="850"/>
        <w:outlineLvl w:val="1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lastRenderedPageBreak/>
        <w:t>•</w:t>
      </w:r>
      <w:r>
        <w:rPr>
          <w:noProof/>
        </w:rPr>
        <w:tab/>
      </w:r>
      <w:r>
        <w:rPr>
          <w:b/>
          <w:noProof/>
          <w:u w:color="000000"/>
          <w:bdr w:val="nil"/>
        </w:rPr>
        <w:t>Gromadzenie i wykorzystanie wiedzy eksperckiej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Komisję wspomagali wykonawcy zewnętrzni wykonując badanie pomocnicze dla oceny </w:t>
      </w:r>
      <w:r>
        <w:rPr>
          <w:i/>
          <w:noProof/>
        </w:rPr>
        <w:t>ex post</w:t>
      </w:r>
      <w:r>
        <w:rPr>
          <w:rStyle w:val="Odwoanieprzypisudolnego"/>
          <w:noProof/>
        </w:rPr>
        <w:footnoteReference w:id="11"/>
      </w:r>
      <w:r>
        <w:rPr>
          <w:noProof/>
        </w:rPr>
        <w:t xml:space="preserve"> i odrębną analizę na potrzeby oceny skutków, która została ukończona w maju 2017 r.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Ocena skutków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Inicjatywa ta znalazła potwierdzenie w analizie skutków, która uzyskała pozytywną opinię zawierającą zalecenia Rady ds. Kontroli Regulacyjnej. Wszystkie główne uwagi Rady zostały uwzględnione w zmienionej wersji oceny skutków (zob. załącznik 1 zawierający przegląd).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Rozważono cztery warianty polityki.  Trzy pierwsze mają charakter kumulacyjny, jeśli chodzi o zwiększenie poziomu interwencji regulacyjnej i spodziewane skutki, natomiast wariant czwarty ma charakter horyzontalny i przewidziane w nim środki można połączyć z każdym z trzech pierwszych wariantów.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Pierwszy wariant strategiczny przewiduje doprecyzowanie ram prawnych oraz zwiększenie współpracy między organami egzekwowania prawa. W drugim skoncentrowano się na wzmocnieniu egzekwowania przepisów i poprawie organizacji pracy pracowników. W trzecim zaproponowano zmiany merytoryczne w przepisach, w szczególności zakaz uzależniania wynagrodzenia od wyników. Wariant czwarty obejmował sektorowe kryteria i szczegółowe środki wykonawcze dotyczące delegowania pracowników w sektorze transportu drogowego. Przewidziano w nim warianty oparte na progach czasowych, zgodnie z którymi pracownik mógłby spędzić w przyjmującym państwie członkowskim w miesiącu kalendarzowym łącznie a) 3 dni, b) 5 dni, c) 7 dni oraz d) 9 dni, zaś po przekroczeniu tego limitu do zagranicznego przewoźnika miałyby zastosowanie przepisy przyjmującego państwa członkowskiego dotyczące minimalnej stawki wynagrodzenia i płatnego urlopu rocznego.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Wariant 1 wydaje się być najmniej skuteczny w rozwiązaniu kwestii niepewności prawnej i nierówności między kierowcami a przewoźnikami, głównie ze względu na nieobowiązkowy charakter tych środków. Zwiększyłoby to niepewność związaną z dużą liczbą środków krajowych, których musieliby przestrzegać kierowcy i przewoźnicy.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Wariant 3 wydaje się mieć pewne negatywne skutki uboczne, jeżeli chodzi o warunki pracy kierowców w transporcie pasażerskim, ponieważ środek dotyczący opóźnionego wypoczynku tygodniowego doprowadziłby do wzrostu zmęczenia o 20–33 % i zwiększyłby zagrożenie dla bezpieczeństwa ruchu drogowego o 4–5 %. Ten wzrost zmęczenia i zagrożenia zostałby nieznacznie zrównoważony przez obniżenie kosztów przestrzegania przepisów ponoszonych przez przewoźników o 3–5 %.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Wariant 2 przewiduje najbardziej pozytywny wpływ na poprawę warunków pracy kierowców (zmniejszenie zmęczenia o 28 %, skrócenie okresów pobytu poza domem przez kierowców o 43 % w UE-13 i o 16 % w UE-15). Jednocześnie przyczynia się do ograniczenia zakłóceń konkurencji i zwiększenia bezpieczeństwa ruchu drogowego dzięki środkom zapewniającym spójne i trochę bardziej skuteczne egzekwowanie prawa, przy jednoczesnym ograniczeniu obciążeń administracyjnych dla organów krajowych i przedsiębiorstw transportowych. </w:t>
      </w:r>
    </w:p>
    <w:p w:rsidR="00DA2438" w:rsidRDefault="00430240">
      <w:pPr>
        <w:rPr>
          <w:noProof/>
        </w:rPr>
      </w:pPr>
      <w:r>
        <w:rPr>
          <w:noProof/>
        </w:rPr>
        <w:t xml:space="preserve">W przypadku wariantu horyzontalnego (PS4) dotyczącego delegowania pracowników, koszty przestrzegania przepisów są najniższe dla przewoźników w przypadku wyższego progu, ze względu na ograniczoną liczbę rejsów objętych przepisami o płacy minimalnej. Z drugiej </w:t>
      </w:r>
      <w:r>
        <w:rPr>
          <w:noProof/>
        </w:rPr>
        <w:lastRenderedPageBreak/>
        <w:t>strony niższy próg czasowy objąłby szerszą grupę kierowców zajmujących się transgranicznym świadczeniem usług w transporcie drogowym, dzięki czemu zwiększyłby się pozytywny wpływ na warunki pracy i warunki socjalne kierowców, które uległyby poprawie, co z kolei spowodowałoby podniesienie atrakcyjności ich pracy.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Szacuje się, że znaczne oszczędności dla przewoźników wynikają głównie z wariantu 4, a w szczególności na skutek wymogów administracyjnych i środków kontrolnych. Oszczędności te wyniosłyby 785 mln EUR rocznie w odniesieniu do kosztów administracyjnych. Oszczędności wynikających ze środków w ramach wariantu 2 nie można było określić ilościowo. Oczekuje się jednak, że środki te ograniczyłyby częstotliwość naruszeń przepisów, a co za tym idzie obniżyłyby koszty braku zgodności z przepisami. Ponadto sprawiają one, że działalność transportowa staje się bardziej wydajna i stanowią dla kierowców zachętę do częstszych powrotów do domu. Pociągają one jednak za sobą nieco wyższe koszty egzekwowania przepisów dla organów krajowych (między 1,3 % a 8 %), w szczególności w odniesieniu do kontroli przestrzegania przepisów dotyczących czasu pracy. 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Sprawność regulacyjna i uproszczenie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Wniosek służy realizacji celu programu sprawności i wydajności regulacyjnej (REFIT) polegającego na zwiększeniu skuteczności przepisów i ograniczeniu obciążeń regulacyjnych dla przedsiębiorstw. Dzieje się tak przede wszystkim dlatego, że we wniosku uproszczono przepisy i dostosowano je do szczególnych potrzeb sektora oraz wykorzystano skuteczniej ujednolicone narzędzia egzekwowania i bazy danych. Koszty egzekwowania ponoszone przez organy krajowe prawdopodobnie nieznacznie wzrosną, jednak wzrost ten jest równoważony poprawą warunków pracy kierowców i poprawą warunków prowadzenia działalności dla przewoźników, a to pozwoli na uzyskanie oszczędności w kosztach związanych z nieprzestrzeganiem przepisów. Wniosek ten pozwoli również skuteczniej egzekwować przepisy, na przykład poprzez zwiększenie wykorzystania systemu oceny ryzyka służącego ukierunkowaniu kontroli u przewoźników niespełniających wymogów. Wniosek nie wyłącza mikroprzedsiębiorstw, ponieważ mogłoby to wiązać się z ryzykiem powstania nierównych warunków konkurencji i nierównych warunków pracy. 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ab/>
        <w:t>Prawa podstawowe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Wniosek przyczynia się do realizacji celów Karty praw podstawowych, w szczególności jej art. 31, który przewiduje prawo do należytych i sprawiedliwych warunków pracy.</w:t>
      </w:r>
    </w:p>
    <w:p w:rsidR="00DA2438" w:rsidRDefault="00430240"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WPŁYW NA BUDŻET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Wniosek nie ma wpływu na budżet Unii.</w:t>
      </w:r>
    </w:p>
    <w:p w:rsidR="00DA2438" w:rsidRDefault="00430240"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ELEMENTY FAKULTATYWNE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Plany wdrożenia i monitorowanie, ocena i sprawozdania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Monitorowanie rozwoju sytuacji, w szczególności liczby, rodzajów i częstotliwości występowania naruszeń przepisów socjalnych będzie się odbywać poprzez połączenie analiz krajowych sprawozdań z wdrażania i danych pochodzących od organizacji egzekwowania prawa na szczeblu UE. Kwestie związane z wdrażaniem i egzekwowaniem przepisów będą regularnie monitorowane i oceniane przez Komitet ds. Transportu Drogowego. Informacje na temat delegowania będą pobierane z krajowych baz danych, w oparciu o formularz A1 – oświadczenie, że delegowany pracownik jest objęty systemem zabezpieczenia społecznego w kraju pochodzenia.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lastRenderedPageBreak/>
        <w:t>Inne zmiany na rynku i ich potencjalny wpływ na warunki pracy i warunki konkurencji będą oceniane z wykorzystaniem danych zgromadzonych w ramach innych inicjatyw, w szczególności w ramach przeglądu rozporządzenia w sprawie dostępu do międzynarodowego rynku przewozów drogowych.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Dokumenty wyjaśniające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Niniejszy wniosek w niewielkim stopniu zmienia dwie obowiązujące dyrektywy i ustanawia szczególne zasady w stosunku do dwóch innych obowiązujących dyrektyw. Uważa się, że nie są konieczne żadne dokumenty wyjaśniające dotyczące transpozycji. </w:t>
      </w:r>
    </w:p>
    <w:p w:rsidR="00DA2438" w:rsidRDefault="00430240">
      <w:pPr>
        <w:pStyle w:val="ManualHeading2"/>
        <w:rPr>
          <w:rFonts w:eastAsia="Arial Unicode MS"/>
          <w:noProof/>
          <w:highlight w:val="yellow"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Ewentualna zmiana dyrektywy 2002/15/WE</w:t>
      </w:r>
    </w:p>
    <w:p w:rsidR="00DA2438" w:rsidRDefault="00430240">
      <w:pPr>
        <w:rPr>
          <w:noProof/>
        </w:rPr>
      </w:pPr>
      <w:r>
        <w:rPr>
          <w:noProof/>
        </w:rPr>
        <w:t>Zgodnie z art. 154 TFUE konieczne jest przeprowadzenie konsultacji z partnerami społecznymi na szczeblu europejskim w kwestiach dotyczących zatrudnienia i spraw społecznych określonych w art. 153 Traktatu. Komisja rozpocznie zatem proces konsultacji w celu uzyskania opinii partnerów społecznych w sprawie możliwego ukierunkowania działań Unii w odniesieniu do dyrektywy 2002/15/WE, która stanowi część ram prawnych w zakresie przepisów socjalnych w transporcie drogowym.</w:t>
      </w:r>
    </w:p>
    <w:p w:rsidR="00DA2438" w:rsidRDefault="00DA2438">
      <w:pPr>
        <w:pStyle w:val="Text1"/>
        <w:ind w:left="0"/>
        <w:rPr>
          <w:noProof/>
        </w:rPr>
      </w:pP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Szczegółowe objaśnienia poszczególnych przepisów wniosku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Nowe przepisy przewidują następujące główne zmiany:</w:t>
      </w:r>
    </w:p>
    <w:p w:rsidR="00DA2438" w:rsidRDefault="00430240">
      <w:pPr>
        <w:spacing w:before="0"/>
        <w:rPr>
          <w:b/>
          <w:noProof/>
          <w:u w:val="single"/>
        </w:rPr>
      </w:pPr>
      <w:r>
        <w:rPr>
          <w:b/>
          <w:noProof/>
          <w:u w:val="single"/>
        </w:rPr>
        <w:t>Dyrektywa 2006/22/WE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Art. 1 wprowadza w dyrektywie 2006/22/WE następujące zmiany: 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>Artykuł 1 – Przedmiot</w:t>
      </w:r>
    </w:p>
    <w:p w:rsidR="00DA2438" w:rsidRDefault="00430240">
      <w:pPr>
        <w:spacing w:before="0"/>
        <w:rPr>
          <w:i/>
          <w:noProof/>
        </w:rPr>
      </w:pPr>
      <w:r>
        <w:rPr>
          <w:noProof/>
        </w:rPr>
        <w:t>Art. 1 został zmieniony w celu wyjaśnienia, że wymogi dotyczące egzekwowania określone w niniejszej dyrektywie stosuje się również do kontroli zgodności z dyrektywą 2002/15/WE.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 xml:space="preserve">Artykuł 2 – Systemy kontroli 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W art. 2 ust. 1 akapit drugi wprowadza się wymóg, aby kontrole przeprowadzane przez państwa członkowskie obejmowały sprawdzanie zgodności z przepisami o czasie pracy określonymi w dyrektywie 2002/15/WE. 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Art. 2 ust. 3 określono, że minimalna liczba kontroli w zakresie zgodności z przepisami rozporządzenia (WE) nr 561/2006 obejmuje sprawdzanie zgodności z dyrektywą 2002/15/WE. 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>W art. 2 ust. 4 wprowadzono wymóg, aby informacje dostarczone Komisji przez państwa członkowskie dotyczące wyników kontroli drogowych i na terenie przedsiębiorstw obejmowały sprawdzanie zgodności z dyrektywą 2002/15/WE.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 xml:space="preserve">Art. 6 – Kontrole na terenie przedsiębiorstw 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>Art. 6 ust. 1 stanowi, że poważne naruszenia przepisów stanowiące podstawę do kontroli na terenie przedsiębiorstw transportu drogowego obejmują również naruszenia przepisów dyrektywy 2002/15/WE.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>Artykuł 7 – Kontakty wewnątrzwspólnotowe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Dodaje się art. 7 ust. 1 lit. d) celem wprowadzenia wymogu, aby wyznaczone organy krajowe dokonywały wymiany informacji na temat wdrażania niniejszej dyrektywy i dyrektywy 2002/15/WE. 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lastRenderedPageBreak/>
        <w:t>Artykuł 8 – Wymiana informacji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Art. 8 zostaje zmieniony celem rozszerzenia zakresu współpracy administracyjnej i wzajemnej pomocy pomiędzy państwami członkowskimi. Art. 8 ust. 1 zostaje zmieniony, aby doprecyzować, że wymiana informacji między wyznaczonymi organami krajowymi obejmuje również wdrażanie dyrektywy 2002/15/WE i rozporządzenia (WE) nr 561/2006. Dodaje się art. 8 ust. 1a, aby określić terminy, w jakich organ państwa członkowskiego musi udzielić odpowiedzi na wnioski o udzielenie informacji pochodzące z innych państw członkowskich. 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>Artykuł 9 – System oceny ryzyka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>Art. 9 zostaje zmieniony, aby poprawić spójność i skuteczność krajowych systemów oceny ryzyka. W art. 9 ust. 1 dodaje się akapit drugi, w którym zobowiązuje się Komisję do wprowadzenia jednolitego wzoru stosowanego do obliczania stopnia ryzyka w przedsiębiorstwach transportowych; określa się w nim również kryteria, które należy uwzględnić przy ustalaniu tego rodzaju wzoru, łącznie z wykorzystaniem „inteligentnych” tachografów. W art. 9 ust. 2 wprowadza się zmiany celem zachęcenia państw członkowskich do dyskusji na temat zasad dotyczących przeprowadzania dodatkowych kontroli na terenie przedsiębiorstw transportu drogowego o wysokim stopniu ryzyka. Dodaje się art. 9 ust. 4 celem uściślenia, że dane zgromadzone w ramach systemu oceny ryzyka muszą być udostępniane organom kontrolnym. Dodaje się art. 9 ust. 5 aby zobowiązać państwa członkowskie do udostępniania informacji zawartych w krajowym systemie oceny ryzyka innym państwom członkowskim na ich wniosek.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>Artykuł 11 – Najlepsza praktyka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Dodaje się art. 11 ust. 3, aby zobowiązać Komisję do określenia wspólnego podejścia do rejestrowania i kontrolowania okresów pracy innej niż prowadzenie pojazdu w przypadku, gdy kierowca jest poza pojazdem i w związku z tym nie może dokonać niezbędnych zapisów w tachografie. 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>Załącznik 1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Dodaje się część A pkt. 6 celem rozszerzenia zakresu kontroli drogowych, tak aby uwzględniał on kontrole dotyczące przestrzegania ograniczeń tygodniowego wymiaru czasu pracy. Dodaje się część B pkt 4 celem rozszerzenia zakresu kontroli na terenie przedsiębiorstw, tak aby uwzględniał on kontrole przestrzegania przepisów dotyczących tygodniowego czasu pracy, przerw i czasu pracy w godzinach nocnych, określonych w dyrektywie 2002/15/WE. </w:t>
      </w:r>
    </w:p>
    <w:p w:rsidR="00DA2438" w:rsidRDefault="00430240">
      <w:pPr>
        <w:spacing w:before="0"/>
        <w:rPr>
          <w:b/>
          <w:noProof/>
          <w:u w:val="single"/>
        </w:rPr>
      </w:pPr>
      <w:r>
        <w:rPr>
          <w:b/>
          <w:noProof/>
          <w:u w:val="single"/>
        </w:rPr>
        <w:t>Przepisy szczególne dotyczące delegowania pracowników w sektorze transportu drogowego dominujące w stosunku do niektórych przepisów dyrektywy 96/71/WE i dyrektywy 2014/67/UE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 xml:space="preserve">Artykuł 2 ust. 1 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>Art. 2 ust. 1 wyjaśnia cele przepisów określających szczegółowe zasady dotyczące delegowania pracowników w sektorze transportu drogowego dominujące w stosunku do odpowiednich przepisów w dyrektywie 96/71/WE i dyrektywie 2014/67/UE.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>Artykuł 2, ust. 2 i 3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Art. 2 ust. 2 określa minimalny okres delegowania, poniżej którego przepisy przyjmującego państwa członkowskiego dotyczące minimalnych stawek płacy oraz płatnego rocznego urlopu nie mają zastosowania w odniesieniu do międzynarodowych przewozów transportu drogowego. Ten próg czasowy nie ma zastosowania do przewozów kabotażowych, ponieważ cała operacja transportu ma miejsce w przyjmującym państwie członkowskim. W związku z </w:t>
      </w:r>
      <w:r>
        <w:rPr>
          <w:noProof/>
        </w:rPr>
        <w:lastRenderedPageBreak/>
        <w:t>tym przepisy dotyczące minimalnej stawki płac i minimalnego płatnego rocznego urlopu obowiązujące w przyjmującym państwie członkowskim powinny mieć zastosowanie do przewozów kabotażowych niezależnie od częstotliwości i czasu trwania przewozów wykonywanych przez kierowcę.  Ust. 3 wyjaśnia również metody obliczania takich okresów delegowania.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>Artykuł 2 ust. 4.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W art. 3 ust. 4 i 5 określono konkretne wymogi administracyjne i środki kontroli do sprawdzania zgodności z przepisami dotyczącymi delegowania pracowników w transporcie drogowym. </w:t>
      </w:r>
    </w:p>
    <w:p w:rsidR="00DA2438" w:rsidRDefault="00DA2438">
      <w:pPr>
        <w:spacing w:before="0" w:after="0"/>
        <w:jc w:val="left"/>
        <w:rPr>
          <w:noProof/>
        </w:rPr>
        <w:sectPr w:rsidR="00DA2438" w:rsidSect="00430240"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DA2438" w:rsidRDefault="00430240" w:rsidP="00430240">
      <w:pPr>
        <w:pStyle w:val="Rfrenceinterinstitutionnelle"/>
        <w:rPr>
          <w:noProof/>
        </w:rPr>
      </w:pPr>
      <w:r w:rsidRPr="00430240">
        <w:lastRenderedPageBreak/>
        <w:t>2017/0121 (COD)</w:t>
      </w:r>
    </w:p>
    <w:p w:rsidR="00DA2438" w:rsidRDefault="00430240">
      <w:pPr>
        <w:pStyle w:val="Statut"/>
        <w:rPr>
          <w:noProof/>
        </w:rPr>
      </w:pPr>
      <w:r>
        <w:rPr>
          <w:noProof/>
        </w:rPr>
        <w:t>Wniosek</w:t>
      </w:r>
    </w:p>
    <w:p w:rsidR="00DA2438" w:rsidRDefault="00430240">
      <w:pPr>
        <w:pStyle w:val="Typedudocument"/>
        <w:rPr>
          <w:noProof/>
        </w:rPr>
      </w:pPr>
      <w:r>
        <w:rPr>
          <w:noProof/>
        </w:rPr>
        <w:t>DYREKTYWA PARLAMENTU EUROPEJSKIEGO I RADY</w:t>
      </w:r>
    </w:p>
    <w:p w:rsidR="00DA2438" w:rsidRDefault="00430240">
      <w:pPr>
        <w:pStyle w:val="Titreobjet"/>
        <w:rPr>
          <w:noProof/>
        </w:rPr>
      </w:pPr>
      <w:r>
        <w:rPr>
          <w:noProof/>
        </w:rPr>
        <w:t xml:space="preserve">zmieniająca dyrektywę 2006/22/WE w odniesieniu do wymogów w zakresie egzekwowania prawa oraz ustanawiająca szczegółowe zasady w odniesieniu do dyrektywy 96/71/WE i dyrektywy 2014/67/UE dotyczące delegowania kierowców w sektorze transportu drogowego </w:t>
      </w:r>
    </w:p>
    <w:p w:rsidR="00DA2438" w:rsidRDefault="00430240">
      <w:pPr>
        <w:pStyle w:val="Institutionquiagit"/>
        <w:rPr>
          <w:noProof/>
        </w:rPr>
      </w:pPr>
      <w:r>
        <w:rPr>
          <w:noProof/>
        </w:rPr>
        <w:t>PARLAMENT EUROPEJSKI I RADA UNII EUROPEJSKIEJ,</w:t>
      </w:r>
    </w:p>
    <w:p w:rsidR="00DA2438" w:rsidRDefault="00430240">
      <w:pPr>
        <w:rPr>
          <w:noProof/>
        </w:rPr>
      </w:pPr>
      <w:r>
        <w:rPr>
          <w:noProof/>
        </w:rPr>
        <w:t>uwzględniając Traktat o funkcjonowaniu Unii Europejskiej, w szczególności jego art. 91 ust. 1,</w:t>
      </w:r>
    </w:p>
    <w:p w:rsidR="00DA2438" w:rsidRDefault="00430240">
      <w:pPr>
        <w:rPr>
          <w:noProof/>
        </w:rPr>
      </w:pPr>
      <w:r>
        <w:rPr>
          <w:noProof/>
        </w:rPr>
        <w:t>uwzględniając wniosek Komisji Europejskiej,</w:t>
      </w:r>
    </w:p>
    <w:p w:rsidR="00DA2438" w:rsidRDefault="00430240">
      <w:pPr>
        <w:rPr>
          <w:noProof/>
        </w:rPr>
      </w:pPr>
      <w:r>
        <w:rPr>
          <w:noProof/>
        </w:rPr>
        <w:t>po przekazaniu projektu aktu ustawodawczego parlamentom narodowym,</w:t>
      </w:r>
    </w:p>
    <w:p w:rsidR="00DA2438" w:rsidRDefault="00430240">
      <w:pPr>
        <w:rPr>
          <w:noProof/>
        </w:rPr>
      </w:pPr>
      <w:r>
        <w:rPr>
          <w:noProof/>
        </w:rPr>
        <w:t>uwzględniając opinię Europejskiego Komitetu Ekonomiczno-Społecznego</w:t>
      </w:r>
      <w:r>
        <w:rPr>
          <w:rStyle w:val="Odwoanieprzypisudolnego"/>
          <w:noProof/>
        </w:rPr>
        <w:footnoteReference w:id="12"/>
      </w:r>
      <w:r>
        <w:rPr>
          <w:noProof/>
        </w:rPr>
        <w:t xml:space="preserve">, </w:t>
      </w:r>
    </w:p>
    <w:p w:rsidR="00DA2438" w:rsidRDefault="00430240">
      <w:pPr>
        <w:rPr>
          <w:noProof/>
          <w:color w:val="008000"/>
        </w:rPr>
      </w:pPr>
      <w:r>
        <w:rPr>
          <w:noProof/>
        </w:rPr>
        <w:t>uwzględniając opinię Komitetu Regionów</w:t>
      </w:r>
      <w:r>
        <w:rPr>
          <w:rStyle w:val="Odwoanieprzypisudolnego"/>
          <w:noProof/>
        </w:rPr>
        <w:footnoteReference w:id="13"/>
      </w:r>
      <w:r>
        <w:rPr>
          <w:noProof/>
        </w:rPr>
        <w:t xml:space="preserve">, </w:t>
      </w:r>
    </w:p>
    <w:p w:rsidR="00DA2438" w:rsidRDefault="00430240">
      <w:pPr>
        <w:rPr>
          <w:noProof/>
        </w:rPr>
      </w:pPr>
      <w:r>
        <w:rPr>
          <w:noProof/>
        </w:rPr>
        <w:t>stanowiąc zgodnie ze zwykłą procedurą ustawodawczą,</w:t>
      </w:r>
    </w:p>
    <w:p w:rsidR="00DA2438" w:rsidRDefault="00430240">
      <w:pPr>
        <w:rPr>
          <w:noProof/>
        </w:rPr>
      </w:pPr>
      <w:r>
        <w:rPr>
          <w:noProof/>
        </w:rPr>
        <w:t>a także mając na uwadze, co następuje:</w:t>
      </w:r>
    </w:p>
    <w:p w:rsidR="00DA2438" w:rsidRDefault="00430240"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 xml:space="preserve">W celu utworzenia bezpiecznego, wydajnego i odpowiedzialnego społecznie sektora transportu drogowego konieczne jest zapewnienie odpowiednich warunków pracy i ochrony socjalnej dla kierowców z jednej strony, oraz odpowiednich warunków do prowadzenia działalności i uczciwej konkurencji dla przewoźników, z drugiej strony. </w:t>
      </w:r>
    </w:p>
    <w:p w:rsidR="00DA2438" w:rsidRDefault="00430240"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Wysoka mobilność nieodłącznie związana z usługami transportu drogowego wymaga szczególnej uwagi jeżeli chce się zapewnić, aby kierowcy korzystali z przysługujących im praw, oraz aby przewoźnicy nie napotykali na nieproporcjonalne bariery administracyjne, które nadmiernie ograniczają swobodę transgranicznego świadczenia usług.</w:t>
      </w:r>
    </w:p>
    <w:p w:rsidR="00DA2438" w:rsidRDefault="00430240"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Zapewnienie równowagi między lepszymi warunkami socjalnymi i warunkami pracy kierowców a większą swobodą w świadczeniu usług transportu drogowego opartym na uczciwej konkurencji między krajowymi i zagranicznymi przewoźnikami ma zasadnicze znaczenie dla sprawnego funkcjonowania rynku wewnętrznego.</w:t>
      </w:r>
    </w:p>
    <w:p w:rsidR="00DA2438" w:rsidRDefault="00430240"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Po dokonaniu oceny skuteczności i wydajności obecnych unijnych przepisów socjalnych w transporcie drogowym, wykryto pewne luki w obecnie obowiązujących przepisach i braki w ich egzekwowaniu. Ponadto istnieją liczne rozbieżności pomiędzy państwami członkowskimi w zakresie interpretowania, stosowania i wdrażania przepisów. Stwarza to niepewność prawną i powoduje nierówne traktowanie kierowców i przewoźników, co ma negatywny wpływ na warunki pracy, warunki socjalne i konkurencję w tym sektorze. </w:t>
      </w:r>
    </w:p>
    <w:p w:rsidR="00DA2438" w:rsidRDefault="00430240">
      <w:pPr>
        <w:pStyle w:val="ManualConsidrant"/>
        <w:rPr>
          <w:noProof/>
        </w:rPr>
      </w:pPr>
      <w:r>
        <w:lastRenderedPageBreak/>
        <w:t>(5)</w:t>
      </w:r>
      <w:r>
        <w:tab/>
      </w:r>
      <w:r>
        <w:rPr>
          <w:noProof/>
        </w:rPr>
        <w:t xml:space="preserve">Odpowiednie, skuteczne i konsekwentne egzekwowanie przepisów dotyczących czasu pracy ma zasadnicze znaczenie dla ochrony warunków pracy kierowców i zapobiegania zakłóceniom konkurencji wynikającym z nieprzestrzegania przepisów. W związku z tym pożądane jest rozszerzenie istniejących, określonych w dyrektywie 2006/22/WE, jednolitych wymogów dotyczących egzekwowania i objęcie nimi kontroli przestrzegania przepisów o czasie pracy, określonych w dyrektywie 2002/15/UE. </w:t>
      </w:r>
    </w:p>
    <w:p w:rsidR="00DA2438" w:rsidRDefault="00430240"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 xml:space="preserve">Współpraca administracyjna między państwami członkowskimi w odniesieniu do wdrażania przepisów socjalnych w transporcie drogowym okazała się niewystarczająca, co sprawia, że transgraniczne egzekwowanie przepisów jest trudne, nieefektywne i niespójne. W związku z tym konieczne jest ustanowienie ram dla skutecznej komunikacji i wzajemnej pomocy, w tym wymiany danych na temat naruszeń i informacji na temat dobrych praktyk w zakresie egzekwowania prawa. </w:t>
      </w:r>
    </w:p>
    <w:p w:rsidR="00DA2438" w:rsidRDefault="00430240"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W celu dalszej poprawy efektywności, skuteczności i spójności egzekwowania prawa, pożądane jest rozwijanie i wykorzystywanie istniejących krajowych systemów oceny ryzyka. Dostęp do danych zawartych w systemach oceny ryzyka pozwoliłby na lepsze ukierunkowanie kontroli u przewoźników niespełniających wymogów a jednolity wzór na potrzeby oceny ryzyka stwarzanego przez przedsiębiorstwo transportowe powinien przyczynić się do bardziej sprawiedliwego traktowania przewoźników objętych kontrolą.</w:t>
      </w:r>
    </w:p>
    <w:p w:rsidR="00DA2438" w:rsidRDefault="00430240"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W celu zapewnienia jednolitych warunków wykonania dyrektywy 2006/22/WE, należy powierzyć Komisji uprawnienia wykonawcze. Uprawnienia te powinny być wykonywane zgodnie z rozporządzeniem (UE) nr 182/2011</w:t>
      </w:r>
      <w:r>
        <w:rPr>
          <w:rStyle w:val="Odwoanieprzypisudolnego"/>
          <w:noProof/>
        </w:rPr>
        <w:footnoteReference w:id="14"/>
      </w:r>
      <w:r>
        <w:rPr>
          <w:noProof/>
        </w:rPr>
        <w:t>.</w:t>
      </w:r>
    </w:p>
    <w:p w:rsidR="00DA2438" w:rsidRDefault="00430240">
      <w:pPr>
        <w:pStyle w:val="ManualConsidrant"/>
        <w:rPr>
          <w:noProof/>
        </w:rPr>
      </w:pPr>
      <w:r>
        <w:t>(9)</w:t>
      </w:r>
      <w:r>
        <w:tab/>
      </w:r>
      <w:r>
        <w:rPr>
          <w:noProof/>
        </w:rPr>
        <w:t>Zwrócono także uwagę na trudności, pojawiające się przy stosowaniu przepisów dotyczących delegowania pracowników, określonych w dyrektywie 96/71/WE Parlamentu Europejskiego i Rady</w:t>
      </w:r>
      <w:r>
        <w:rPr>
          <w:rStyle w:val="Odwoanieprzypisudolnego"/>
          <w:noProof/>
        </w:rPr>
        <w:footnoteReference w:id="15"/>
      </w:r>
      <w:r>
        <w:rPr>
          <w:noProof/>
        </w:rPr>
        <w:t xml:space="preserve"> oraz zasad dotyczących wymogów administracyjnych określonych w dyrektywie Parlamentu Europejskiego i Rady 2014/67/UE</w:t>
      </w:r>
      <w:r>
        <w:rPr>
          <w:rStyle w:val="Odwoanieprzypisudolnego"/>
          <w:noProof/>
        </w:rPr>
        <w:footnoteReference w:id="16"/>
      </w:r>
      <w:r>
        <w:rPr>
          <w:noProof/>
        </w:rPr>
        <w:t xml:space="preserve"> w odniesieniu do wysoce mobilnego sektora transportu drogowego. Nieskoordynowane środki krajowe w zakresie stosowania i egzekwowania przepisów dotyczących delegowania pracowników w sektorze transportu drogowego spowodowały znaczne obciążenia administracyjne dla przewoźników niemających siedziby w Unii. Doprowadziło to do nieuzasadnionych ograniczeń swobody świadczenia transgranicznych usług transportu drogowego, których skutki uboczne są negatywne dla zatrudnienia.</w:t>
      </w:r>
    </w:p>
    <w:p w:rsidR="00DA2438" w:rsidRDefault="00430240">
      <w:pPr>
        <w:pStyle w:val="ManualConsidrant"/>
        <w:rPr>
          <w:noProof/>
        </w:rPr>
      </w:pPr>
      <w:r>
        <w:t>(10)</w:t>
      </w:r>
      <w:r>
        <w:tab/>
      </w:r>
      <w:r>
        <w:rPr>
          <w:noProof/>
        </w:rPr>
        <w:t>Komisja w swoim wniosku z dnia 8 marca 2016 r.</w:t>
      </w:r>
      <w:r>
        <w:rPr>
          <w:rStyle w:val="Odwoanieprzypisudolnego"/>
          <w:noProof/>
        </w:rPr>
        <w:footnoteReference w:id="17"/>
      </w:r>
      <w:r>
        <w:rPr>
          <w:noProof/>
        </w:rPr>
        <w:t xml:space="preserve"> dotyczącym przeglądu dyrektywy 96/71/WE, stwierdziła, że wdrożenie tej dyrektywy budzi szczególne wątpliwości i problemy prawne w wysoce mobilnym sektorze transportu drogowego i wskazała, że </w:t>
      </w:r>
      <w:r>
        <w:rPr>
          <w:noProof/>
        </w:rPr>
        <w:lastRenderedPageBreak/>
        <w:t>kwestie te najlepiej rozwiązać za pomocą sektorowych przepisów w zakresie transportu drogowego.</w:t>
      </w:r>
    </w:p>
    <w:p w:rsidR="00DA2438" w:rsidRDefault="00430240">
      <w:pPr>
        <w:pStyle w:val="ManualConsidrant"/>
        <w:rPr>
          <w:noProof/>
        </w:rPr>
      </w:pPr>
      <w:r>
        <w:t>(11)</w:t>
      </w:r>
      <w:r>
        <w:tab/>
      </w:r>
      <w:r>
        <w:rPr>
          <w:noProof/>
        </w:rPr>
        <w:t xml:space="preserve">W celu zapewnienia skutecznego i proporcjonalnego wdrażania dyrektywy 96/71/WE w sektorze transportu drogowego, konieczne jest ustanowienie przepisów sektorowych odzwierciedlających szczególny charakter wysoce mobilnej siły roboczej w sektorze transportu drogowego oraz zapewniających równowagę między ochroną socjalną kierowców i swobodnym transgranicznym świadczeniem usług przez przewoźników. </w:t>
      </w:r>
    </w:p>
    <w:p w:rsidR="00DA2438" w:rsidRDefault="00430240">
      <w:pPr>
        <w:pStyle w:val="ManualConsidrant"/>
        <w:rPr>
          <w:noProof/>
        </w:rPr>
      </w:pPr>
      <w:r>
        <w:t>(12)</w:t>
      </w:r>
      <w:r>
        <w:tab/>
      </w:r>
      <w:r>
        <w:rPr>
          <w:noProof/>
        </w:rPr>
        <w:t>Takie wyważone kryteria powinny być oparte na koncepcji wystarczająco silnego powiązania kierowcy z terytorium przyjmującego państwa członkowskiego. W związku z tym należy ustanowić próg czasowy, po przekroczeniu którego w odniesieniu do międzynarodowych przewozów zastosowanie mają przepisy dotyczące minimalnej stawki płac i minimalnego płatnego rocznego urlopu obowiązujące w przyjmującym państwie członkowskim.  Ten próg czasowy nie powinien mieć zastosowania do przewozów kabotażowych, zdefiniowanych w rozporządzeniach 1072/2009</w:t>
      </w:r>
      <w:r>
        <w:rPr>
          <w:rStyle w:val="Odwoanieprzypisudolnego"/>
          <w:noProof/>
        </w:rPr>
        <w:footnoteReference w:id="18"/>
      </w:r>
      <w:r>
        <w:rPr>
          <w:noProof/>
        </w:rPr>
        <w:t xml:space="preserve"> i 1073/2009</w:t>
      </w:r>
      <w:r>
        <w:rPr>
          <w:rStyle w:val="Odwoanieprzypisudolnego"/>
          <w:noProof/>
        </w:rPr>
        <w:footnoteReference w:id="19"/>
      </w:r>
      <w:r>
        <w:rPr>
          <w:noProof/>
        </w:rPr>
        <w:t>, ponieważ cała operacja transportu ma miejsce w przyjmującym państwie członkowskim. W związku z tym przepisy dotyczące minimalnej stawki płac i minimalnego płatnego rocznego urlopu obowiązujące w przyjmującym państwie członkowskim powinny mieć zastosowanie do przewozów kabotażowych niezależnie od częstotliwości i czasu trwania przewozów wykonywanych przez kierowcę.</w:t>
      </w:r>
    </w:p>
    <w:p w:rsidR="00DA2438" w:rsidRDefault="00430240">
      <w:pPr>
        <w:pStyle w:val="ManualConsidrant"/>
        <w:rPr>
          <w:noProof/>
        </w:rPr>
      </w:pPr>
      <w:r>
        <w:t>(13)</w:t>
      </w:r>
      <w:r>
        <w:tab/>
      </w:r>
      <w:r>
        <w:rPr>
          <w:noProof/>
        </w:rPr>
        <w:t>W celu zapewnienia skutecznego i efektywnego egzekwowania zasad sektorowych dotyczących delegowania pracowników oraz aby uniknąć niewspółmiernych obciążeń administracyjnych dla przewoźników niebędących rezydentami, należy ustanowić szczególne wymogi administracyjne i kontrolne w sektorze transportu drogowego, przy pełnym wykorzystaniu narzędzi kontroli, takich jak tachografy cyfrowe.</w:t>
      </w:r>
    </w:p>
    <w:p w:rsidR="00DA2438" w:rsidRDefault="00430240">
      <w:pPr>
        <w:pStyle w:val="ManualConsidrant"/>
        <w:rPr>
          <w:noProof/>
        </w:rPr>
      </w:pPr>
      <w:r>
        <w:t>(14)</w:t>
      </w:r>
      <w:r>
        <w:tab/>
      </w:r>
      <w:r>
        <w:rPr>
          <w:noProof/>
        </w:rPr>
        <w:t>Należy zatem odpowiednio zmienić dyrektywę 2006/22/WE,</w:t>
      </w:r>
    </w:p>
    <w:p w:rsidR="00DA2438" w:rsidRDefault="00DA2438">
      <w:pPr>
        <w:rPr>
          <w:noProof/>
        </w:rPr>
      </w:pPr>
    </w:p>
    <w:p w:rsidR="00DA2438" w:rsidRDefault="00430240">
      <w:pPr>
        <w:pStyle w:val="Formuledadoption"/>
        <w:rPr>
          <w:noProof/>
        </w:rPr>
      </w:pPr>
      <w:r>
        <w:rPr>
          <w:noProof/>
        </w:rPr>
        <w:t>PRZYJMUJĄ NINIEJSZĄ DYREKTYWĘ:</w:t>
      </w:r>
    </w:p>
    <w:p w:rsidR="00DA2438" w:rsidRDefault="00430240">
      <w:pPr>
        <w:pStyle w:val="Titrearticle"/>
        <w:rPr>
          <w:noProof/>
        </w:rPr>
      </w:pPr>
      <w:r>
        <w:rPr>
          <w:noProof/>
        </w:rPr>
        <w:t>Artykuł 1</w:t>
      </w:r>
    </w:p>
    <w:p w:rsidR="00DA2438" w:rsidRDefault="00430240">
      <w:pPr>
        <w:rPr>
          <w:noProof/>
        </w:rPr>
      </w:pPr>
      <w:r>
        <w:rPr>
          <w:noProof/>
        </w:rPr>
        <w:t>W dyrektywie 2006/22/WE wprowadza się następujące zmiany:</w:t>
      </w:r>
    </w:p>
    <w:p w:rsidR="00DA2438" w:rsidRDefault="00430240"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tytuł otrzymuje brzmienie:</w:t>
      </w:r>
    </w:p>
    <w:p w:rsidR="00DA2438" w:rsidRDefault="00430240">
      <w:pPr>
        <w:rPr>
          <w:noProof/>
        </w:rPr>
      </w:pPr>
      <w:r>
        <w:rPr>
          <w:noProof/>
        </w:rPr>
        <w:t>„Dyrektywa 2006/22/WE Parlamentu Europejskiego i Rady z dnia 15 marca 2006 r. w sprawie minimalnych warunków wykonania rozporządzeń (WE) nr 561/2006 i (UE) nr 165/2014 oraz dyrektywy 2002/15/WE Parlamentu Europejskiego i Rady dotyczących przepisów socjalnych odnoszących się do działalności w transporcie drogowym oraz uchylająca dyrektywę Rady 88/599/EWG”;</w:t>
      </w:r>
    </w:p>
    <w:p w:rsidR="00DA2438" w:rsidRDefault="00430240"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art. 1 otrzymuje brzmienie:</w:t>
      </w:r>
    </w:p>
    <w:p w:rsidR="00DA2438" w:rsidRDefault="00430240">
      <w:pPr>
        <w:rPr>
          <w:noProof/>
        </w:rPr>
      </w:pPr>
      <w:r>
        <w:rPr>
          <w:noProof/>
        </w:rPr>
        <w:lastRenderedPageBreak/>
        <w:t>„Niniejsza dyrektywa ustanawia minimalne warunki dla wdrożenia rozporządzeń (WE) nr 561/2006 i (UE) nr 165/2014* oraz dyrektywy 2002/15/WE**.”;</w:t>
      </w:r>
    </w:p>
    <w:p w:rsidR="00DA2438" w:rsidRDefault="00430240">
      <w:pPr>
        <w:rPr>
          <w:noProof/>
        </w:rPr>
      </w:pPr>
      <w:r>
        <w:rPr>
          <w:noProof/>
        </w:rPr>
        <w:t>______________________</w:t>
      </w:r>
    </w:p>
    <w:p w:rsidR="00DA2438" w:rsidRDefault="00430240">
      <w:pPr>
        <w:rPr>
          <w:noProof/>
        </w:rPr>
      </w:pPr>
      <w:r>
        <w:rPr>
          <w:noProof/>
        </w:rPr>
        <w:t>* Rozporządzenie Parlamentu Europejskiego i Rady (UE) nr 165/2014 z dnia 4 lutego 2014 r. w sprawie tachografów stosowanych w transporcie drogowym i uchylające rozporządzenie Rady (EWG) nr 3821/85 w sprawie urządzeń rejestrujących stosowanych w transporcie drogowym oraz zmieniające rozporządzenie (WE) nr 561/2006 Parlamentu Europejskiego i Rady w sprawie harmonizacji niektórych przepisów socjalnych odnoszących się do transportu drogowego (Dz.U. L 60 z 28.2.2014, s. 1).</w:t>
      </w:r>
    </w:p>
    <w:p w:rsidR="00DA2438" w:rsidRDefault="00430240">
      <w:pPr>
        <w:rPr>
          <w:noProof/>
        </w:rPr>
      </w:pPr>
      <w:r>
        <w:rPr>
          <w:noProof/>
        </w:rPr>
        <w:t>** Dyrektywa 2002/15/WE Parlamentu Europejskiego i Rady z dnia 11 marca 2002 r. w sprawie organizacji czasu pracy osób wykonujących czynności w trasie w zakresie transportu drogowego (Dz.U. L 80 z 23.3.2002, s. 35).”;</w:t>
      </w:r>
    </w:p>
    <w:p w:rsidR="00DA2438" w:rsidRDefault="00430240"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w art. 2 wprowadza się następujące zmiany:</w:t>
      </w:r>
    </w:p>
    <w:p w:rsidR="00DA2438" w:rsidRDefault="00430240">
      <w:pPr>
        <w:pStyle w:val="Point1letter"/>
        <w:numPr>
          <w:ilvl w:val="3"/>
          <w:numId w:val="7"/>
        </w:numPr>
        <w:rPr>
          <w:noProof/>
        </w:rPr>
      </w:pPr>
      <w:r>
        <w:rPr>
          <w:noProof/>
        </w:rPr>
        <w:t>ust. 1 akapit drugi otrzymuje brzmienie:</w:t>
      </w:r>
    </w:p>
    <w:p w:rsidR="00DA2438" w:rsidRDefault="00430240">
      <w:pPr>
        <w:rPr>
          <w:noProof/>
        </w:rPr>
      </w:pPr>
      <w:r>
        <w:rPr>
          <w:noProof/>
        </w:rPr>
        <w:t>„Kontrole te obejmują każdego roku szeroki i reprezentatywny przekrój pracowników wykonujących czynności związane z przewozem, kierowców, przedsiębiorstw i pojazdów objętych zakresem stosowania rozporządzeń (WE) nr 561/2006 i (UE) nr 165/2014 oraz pracowników wykonujących czynności związane z przewozem i kierowców objętych zakresem dyrektywy 2002/15/WE.”;</w:t>
      </w:r>
    </w:p>
    <w:p w:rsidR="00DA2438" w:rsidRDefault="00430240">
      <w:pPr>
        <w:pStyle w:val="Point1letter"/>
        <w:numPr>
          <w:ilvl w:val="3"/>
          <w:numId w:val="7"/>
        </w:numPr>
        <w:rPr>
          <w:noProof/>
        </w:rPr>
      </w:pPr>
      <w:r>
        <w:rPr>
          <w:noProof/>
        </w:rPr>
        <w:t>ust. 3 akapit pierwszy otrzymuje brzmienie:</w:t>
      </w:r>
    </w:p>
    <w:p w:rsidR="00DA2438" w:rsidRDefault="00430240">
      <w:pPr>
        <w:rPr>
          <w:noProof/>
        </w:rPr>
      </w:pPr>
      <w:r>
        <w:rPr>
          <w:noProof/>
        </w:rPr>
        <w:t>„Każde państwo członkowskie organizuje kontrole w taki sposób, aby obejmowały one co najmniej 3 % dni przepracowanych przez kierowców pojazdów objętych zakresem stosowania rozporządzenia (WE) nr 561/2006, rozporządzenia (UE) nr 165/2014 i dyrektywy 2002/15/WE.”;</w:t>
      </w:r>
    </w:p>
    <w:p w:rsidR="00DA2438" w:rsidRDefault="00430240">
      <w:pPr>
        <w:pStyle w:val="Point1letter"/>
        <w:numPr>
          <w:ilvl w:val="3"/>
          <w:numId w:val="7"/>
        </w:numPr>
        <w:rPr>
          <w:noProof/>
        </w:rPr>
      </w:pPr>
      <w:r>
        <w:rPr>
          <w:noProof/>
        </w:rPr>
        <w:t>ust. 4 otrzymuje brzmienie:</w:t>
      </w:r>
    </w:p>
    <w:p w:rsidR="00DA2438" w:rsidRDefault="00430240">
      <w:pPr>
        <w:rPr>
          <w:noProof/>
        </w:rPr>
      </w:pPr>
      <w:r>
        <w:rPr>
          <w:noProof/>
        </w:rPr>
        <w:t>„4.</w:t>
      </w:r>
      <w:r>
        <w:rPr>
          <w:noProof/>
        </w:rPr>
        <w:tab/>
        <w:t>Informacje przedkładane Komisji zgodnie z art. 17 rozporządzenia (WE) nr 561/2006 zawierają liczbę kierowców poddanych kontrolom drogowym, liczbę kontroli na terenie przedsiębiorstw, liczbę skontrolowanych dni roboczych oraz liczbę i rodzaj ujawnionych naruszeń z zaznaczeniem, czy wykonywany był przewóz osób czy rzeczy.”;</w:t>
      </w:r>
    </w:p>
    <w:p w:rsidR="00DA2438" w:rsidRDefault="00430240"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art. 6 ust. 1 otrzymuje brzmienie:</w:t>
      </w:r>
    </w:p>
    <w:p w:rsidR="00DA2438" w:rsidRDefault="00430240">
      <w:pPr>
        <w:rPr>
          <w:noProof/>
        </w:rPr>
      </w:pPr>
      <w:r>
        <w:rPr>
          <w:noProof/>
        </w:rPr>
        <w:t>„1.</w:t>
      </w:r>
      <w:r>
        <w:rPr>
          <w:noProof/>
        </w:rPr>
        <w:tab/>
        <w:t>Kontrole na terenie przedsiębiorstw są planowane z uwzględnieniem dotychczasowych doświadczeń w zakresie różnych rodzajów transportu i przedsiębiorstw. Prowadzi się je także w przypadkach gdy kontrole drogowe ujawniły poważne naruszenia przepisów rozporządzeń (WE) nr 561/2006, (UE) nr 165/2014 lub dyrektywy 2002/15/WE.”;</w:t>
      </w:r>
    </w:p>
    <w:p w:rsidR="00DA2438" w:rsidRDefault="00430240"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w art. 7 ust. 1 dodaje się lit. d) w brzmieniu:</w:t>
      </w:r>
    </w:p>
    <w:p w:rsidR="00DA2438" w:rsidRDefault="00430240">
      <w:pPr>
        <w:rPr>
          <w:noProof/>
        </w:rPr>
      </w:pPr>
      <w:r>
        <w:rPr>
          <w:noProof/>
        </w:rPr>
        <w:t>„d)</w:t>
      </w:r>
      <w:r>
        <w:rPr>
          <w:noProof/>
        </w:rPr>
        <w:tab/>
        <w:t>zapewnienie wymiany informacji z innymi państwami członkowskimi w zakresie stosowania krajowych przepisów transponujących przepisy niniejszej dyrektywy i dyrektywy 2002/15/WE.”;</w:t>
      </w:r>
    </w:p>
    <w:p w:rsidR="00DA2438" w:rsidRDefault="00430240"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w art. 8 wprowadza się następujące zmiany:</w:t>
      </w:r>
    </w:p>
    <w:p w:rsidR="00DA2438" w:rsidRDefault="00430240">
      <w:pPr>
        <w:pStyle w:val="Point1letter"/>
        <w:rPr>
          <w:noProof/>
        </w:rPr>
      </w:pPr>
      <w:r>
        <w:rPr>
          <w:noProof/>
        </w:rPr>
        <w:t>ust. 1 lit. b) otrzymuje brzmienie:</w:t>
      </w:r>
    </w:p>
    <w:p w:rsidR="00DA2438" w:rsidRDefault="00430240">
      <w:pPr>
        <w:pStyle w:val="Text2"/>
        <w:rPr>
          <w:noProof/>
        </w:rPr>
      </w:pPr>
      <w:r>
        <w:rPr>
          <w:noProof/>
        </w:rPr>
        <w:t>„b) na uzasadniony wniosek państwa członkowskiego w indywidualnych przypadkach.”;</w:t>
      </w:r>
    </w:p>
    <w:p w:rsidR="00DA2438" w:rsidRDefault="00430240">
      <w:pPr>
        <w:pStyle w:val="Point1letter"/>
        <w:rPr>
          <w:noProof/>
        </w:rPr>
      </w:pPr>
      <w:r>
        <w:rPr>
          <w:noProof/>
        </w:rPr>
        <w:t>dodaje się ust. 1a w brzmieniu:</w:t>
      </w:r>
    </w:p>
    <w:p w:rsidR="00DA2438" w:rsidRDefault="00430240">
      <w:pPr>
        <w:rPr>
          <w:noProof/>
        </w:rPr>
      </w:pPr>
      <w:r>
        <w:rPr>
          <w:noProof/>
        </w:rPr>
        <w:lastRenderedPageBreak/>
        <w:t>„1a.</w:t>
      </w:r>
      <w:r>
        <w:rPr>
          <w:noProof/>
        </w:rPr>
        <w:tab/>
        <w:t>Państwa członkowskie przekazują informacje, o które zwrócą się inne państwa członkowskie, zgodnie z ust. 1 lit. b) niniejszego artykułu w terminie 25 dni roboczych od otrzymania wniosku w przypadkach wymagających dogłębnej analizy lub obejmujących kontrole na terenie zainteresowanych przedsiębiorstw. Krótszy termin może zostać uzgodniony wspólnie przez państwa członkowskie. W pilnych przypadkach lub w przypadkach wymagających prostego sprawdzenia rejestrów, takich jak system oceny ryzyka, wymagane informacje są przedstawiane w ciągu trzech dni roboczych.</w:t>
      </w:r>
    </w:p>
    <w:p w:rsidR="00DA2438" w:rsidRDefault="00430240">
      <w:pPr>
        <w:rPr>
          <w:noProof/>
        </w:rPr>
      </w:pPr>
      <w:r>
        <w:rPr>
          <w:noProof/>
        </w:rPr>
        <w:t>W przypadku gdy państwo członkowskie, do którego wniosek był skierowany, uzna, że nie jest on wystarczająco uzasadniony, informuje o tym państwo członkowskie, które złożyło wniosek w ciągu 10 dni roboczych. Państwo członkowskie, które złożyło wniosek, przedstawia dalsze informacje na poparcie wniosku. Jeżeli nie jest to możliwe, państwo członkowskie może odrzucić wniosek.</w:t>
      </w:r>
    </w:p>
    <w:p w:rsidR="00DA2438" w:rsidRDefault="00430240">
      <w:pPr>
        <w:rPr>
          <w:noProof/>
        </w:rPr>
      </w:pPr>
      <w:r>
        <w:rPr>
          <w:noProof/>
        </w:rPr>
        <w:t>Jeżeli udzielenie informacji zażądanych we wniosku, lub przeprowadzenie kontroli lub dochodzenia jest trudne lub niemożliwe, dane państwo członkowskie informuje o tym wnioskujące państwo członkowskie w ciągu 10 dni roboczych, podając przyczyny. Zainteresowane państwa członkowskie omawiają ze sobą wszelkie pojawiające się trudności w celu znalezienia dla nich rozwiązania.”;</w:t>
      </w:r>
    </w:p>
    <w:p w:rsidR="00DA2438" w:rsidRDefault="00430240"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w art. 9 wprowadza się następujące zmiany:</w:t>
      </w:r>
    </w:p>
    <w:p w:rsidR="00DA2438" w:rsidRDefault="00430240">
      <w:pPr>
        <w:pStyle w:val="Point1letter"/>
        <w:numPr>
          <w:ilvl w:val="3"/>
          <w:numId w:val="7"/>
        </w:numPr>
        <w:rPr>
          <w:noProof/>
        </w:rPr>
      </w:pPr>
      <w:r>
        <w:rPr>
          <w:noProof/>
        </w:rPr>
        <w:t>ust. 1 otrzymuje brzmienie:</w:t>
      </w:r>
    </w:p>
    <w:p w:rsidR="00DA2438" w:rsidRDefault="00430240">
      <w:pPr>
        <w:rPr>
          <w:noProof/>
        </w:rPr>
      </w:pPr>
      <w:r>
        <w:rPr>
          <w:noProof/>
        </w:rPr>
        <w:t>„1.</w:t>
      </w:r>
      <w:r>
        <w:rPr>
          <w:noProof/>
        </w:rPr>
        <w:tab/>
        <w:t>Państwa członkowskie wprowadzają system oceny ryzyka dla przedsiębiorstw, oparty na względnej liczbie i wadze naruszeń przepisów rozporządzenia (WE) nr 561/2006 lub rozporządzenia (UE) nr 165/2014 lub przepisów krajowych transponujących dyrektywę 2002/15/WE, popełnionych w poszczególnych przedsiębiorstwach.</w:t>
      </w:r>
    </w:p>
    <w:p w:rsidR="00DA2438" w:rsidRDefault="00430240">
      <w:pPr>
        <w:rPr>
          <w:noProof/>
        </w:rPr>
      </w:pPr>
      <w:r>
        <w:rPr>
          <w:noProof/>
        </w:rPr>
        <w:t>Komisja przyjmuje, w drodze aktów wykonawczych, wspólny wzór obliczania stopnia ryzyka w przedsiębiorstwach, w którym uwzględnia się liczbę, wagę i częstotliwość występowania naruszeń, jak również wyniki kontroli, w przypadku gdy nie stwierdzono naruszeń oraz fakt, czy przedsiębiorstwo transportu drogowego stosuje inteligentne tachografy, zgodnie z rozdziałem II rozporządzenia (UE) nr 165/2014, we wszystkich swoich pojazdach. Te akty wykonawcze przyjmuje się zgodnie z procedurą sprawdzającą, o której mowa w art. 12 ust. 2 niniejszej dyrektywy.”;</w:t>
      </w:r>
    </w:p>
    <w:p w:rsidR="00DA2438" w:rsidRDefault="00430240">
      <w:pPr>
        <w:pStyle w:val="Point1letter"/>
        <w:rPr>
          <w:noProof/>
        </w:rPr>
      </w:pPr>
      <w:r>
        <w:rPr>
          <w:noProof/>
        </w:rPr>
        <w:t>w ust. 2 skreśla się zdanie drugie;</w:t>
      </w:r>
    </w:p>
    <w:p w:rsidR="00DA2438" w:rsidRDefault="00430240">
      <w:pPr>
        <w:pStyle w:val="Point1letter"/>
        <w:rPr>
          <w:noProof/>
        </w:rPr>
      </w:pPr>
      <w:r>
        <w:rPr>
          <w:noProof/>
        </w:rPr>
        <w:t>dodaje się ust. 4 i 5 w brzmieniu:</w:t>
      </w:r>
    </w:p>
    <w:p w:rsidR="00DA2438" w:rsidRDefault="00430240">
      <w:pPr>
        <w:rPr>
          <w:noProof/>
        </w:rPr>
      </w:pPr>
      <w:r>
        <w:rPr>
          <w:noProof/>
        </w:rPr>
        <w:t>„4.</w:t>
      </w:r>
      <w:r>
        <w:rPr>
          <w:noProof/>
        </w:rPr>
        <w:tab/>
        <w:t>Aby ułatwić prowadzenie ukierunkowanych kontroli drogowych, dane zawarte w krajowym systemie oceny ryzyka muszą być dostępne w momencie kontroli dla wszystkich właściwych organów kontroli danego państwa członkowskiego.;</w:t>
      </w:r>
    </w:p>
    <w:p w:rsidR="00DA2438" w:rsidRDefault="00430240">
      <w:pPr>
        <w:rPr>
          <w:noProof/>
        </w:rPr>
      </w:pPr>
      <w:r>
        <w:rPr>
          <w:noProof/>
        </w:rPr>
        <w:t xml:space="preserve">5. </w:t>
      </w:r>
      <w:r>
        <w:rPr>
          <w:noProof/>
        </w:rPr>
        <w:tab/>
        <w:t>Państwa członkowskie udostępniają informacje zawarte w krajowym systemie oceny ryzyka na wniosek lub bezpośrednio wszystkim właściwym organom innych państw członkowskich zgodnie z terminami określonymi w art. 8.”;</w:t>
      </w:r>
    </w:p>
    <w:p w:rsidR="00DA2438" w:rsidRDefault="00430240">
      <w:pPr>
        <w:pStyle w:val="Point0number"/>
        <w:numPr>
          <w:ilvl w:val="0"/>
          <w:numId w:val="7"/>
        </w:numPr>
        <w:rPr>
          <w:noProof/>
        </w:rPr>
      </w:pPr>
      <w:r>
        <w:rPr>
          <w:noProof/>
        </w:rPr>
        <w:t>art. 11 ust. 3 otrzymuje brzmienie:</w:t>
      </w:r>
    </w:p>
    <w:p w:rsidR="00DA2438" w:rsidRDefault="00430240">
      <w:pPr>
        <w:rPr>
          <w:noProof/>
        </w:rPr>
      </w:pPr>
      <w:r>
        <w:rPr>
          <w:noProof/>
        </w:rPr>
        <w:t>„3.</w:t>
      </w:r>
      <w:r>
        <w:rPr>
          <w:noProof/>
        </w:rPr>
        <w:tab/>
        <w:t>Komisja ustanawia w drodze aktów wykonawczych wspólne podejście do rejestrowania i kontrolowania okresów „innej pracy”, zgodnie z definicją zawartą w art. 4 lit. e) rozporządzenia (WE) nr 561/2006, oraz w okresach co najmniej jednego tygodnia, w czasie których kierowca jest poza pojazdem. Te akty wykonawcze przyjmuje się zgodnie z procedurą sprawdzającą, o której mowa w art. 12 ust. 2.”;</w:t>
      </w:r>
    </w:p>
    <w:p w:rsidR="00DA2438" w:rsidRDefault="00430240">
      <w:pPr>
        <w:pStyle w:val="Point0number"/>
        <w:numPr>
          <w:ilvl w:val="0"/>
          <w:numId w:val="7"/>
        </w:numPr>
        <w:rPr>
          <w:noProof/>
        </w:rPr>
      </w:pPr>
      <w:r>
        <w:rPr>
          <w:noProof/>
        </w:rPr>
        <w:t>w załączniku I wprowadza się następujące zmiany:</w:t>
      </w:r>
    </w:p>
    <w:p w:rsidR="00DA2438" w:rsidRDefault="00430240">
      <w:pPr>
        <w:pStyle w:val="Point1letter"/>
        <w:numPr>
          <w:ilvl w:val="3"/>
          <w:numId w:val="7"/>
        </w:numPr>
        <w:rPr>
          <w:noProof/>
        </w:rPr>
      </w:pPr>
      <w:r>
        <w:rPr>
          <w:noProof/>
        </w:rPr>
        <w:lastRenderedPageBreak/>
        <w:t>w części A dodaje się pkt 6 w brzmieniu:</w:t>
      </w:r>
    </w:p>
    <w:p w:rsidR="00DA2438" w:rsidRDefault="00430240">
      <w:pPr>
        <w:rPr>
          <w:noProof/>
        </w:rPr>
      </w:pPr>
      <w:r>
        <w:rPr>
          <w:noProof/>
        </w:rPr>
        <w:t>„6)</w:t>
      </w:r>
      <w:r>
        <w:rPr>
          <w:noProof/>
        </w:rPr>
        <w:tab/>
        <w:t>tygodniowy czas pracy, określony w art. 4 i 5 dyrektywy 2002/15/WE.”;</w:t>
      </w:r>
    </w:p>
    <w:p w:rsidR="00DA2438" w:rsidRDefault="00430240">
      <w:pPr>
        <w:pStyle w:val="Point1letter"/>
        <w:numPr>
          <w:ilvl w:val="3"/>
          <w:numId w:val="7"/>
        </w:numPr>
        <w:rPr>
          <w:noProof/>
        </w:rPr>
      </w:pPr>
      <w:r>
        <w:rPr>
          <w:noProof/>
        </w:rPr>
        <w:t>w części B dodaje się pkt 4 w brzmieniu:</w:t>
      </w:r>
    </w:p>
    <w:p w:rsidR="00DA2438" w:rsidRDefault="00430240">
      <w:pPr>
        <w:rPr>
          <w:noProof/>
        </w:rPr>
      </w:pPr>
      <w:r>
        <w:rPr>
          <w:noProof/>
        </w:rPr>
        <w:t>„4)</w:t>
      </w:r>
      <w:r>
        <w:rPr>
          <w:noProof/>
        </w:rPr>
        <w:tab/>
        <w:t>wymogi dotyczące tygodniowego czasu pracy, przerw i pracy w porze nocnej określone w art. 4, 5 i 7 dyrektywy 2002/15/WE.”.</w:t>
      </w:r>
    </w:p>
    <w:p w:rsidR="00DA2438" w:rsidRDefault="00430240">
      <w:pPr>
        <w:pStyle w:val="Titrearticle"/>
        <w:rPr>
          <w:noProof/>
        </w:rPr>
      </w:pPr>
      <w:r>
        <w:rPr>
          <w:noProof/>
        </w:rPr>
        <w:t>Artykuł 2</w:t>
      </w:r>
    </w:p>
    <w:p w:rsidR="00DA2438" w:rsidRDefault="00430240"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Niniejszy artykuł ustanawia szczegółowe przepisy w odniesieniu do niektórych aspektów dyrektywy 96/71/WE odnoszących się do delegowania kierowców w sektorze transportu drogowego oraz dyrektywy Parlamentu Europejskiego i Rady 2014/67/UE odnoszących się do wymogów administracyjnych i środków kontroli dotyczących delegowania tych kierowców.</w:t>
      </w:r>
    </w:p>
    <w:p w:rsidR="00DA2438" w:rsidRDefault="00430240"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Państwa członkowskie nie stosują przepisów art. 3 ust. 1 akapit pierwszy lit. b) i c) dyrektywy 96/71/WE do kierowców w sektorze transportu drogowego zatrudnionych przez przedsiębiorstwa, o których mowa w art. 1 ust. 3 lit. a) wspomnianej dyrektywy, wykonujących przewozy międzynarodowe zdefiniowane w rozporządzeniach nr 1072/2009 i 1073/2009 w przypadku gdy okres delegowania do pracy na ich terytorium jest krótszy lub równy liczbie 3 dni w okresie jednego miesiąca kalendarzowego. </w:t>
      </w:r>
    </w:p>
    <w:p w:rsidR="00DA2438" w:rsidRDefault="00430240">
      <w:pPr>
        <w:rPr>
          <w:noProof/>
        </w:rPr>
      </w:pPr>
      <w:r>
        <w:rPr>
          <w:noProof/>
        </w:rPr>
        <w:t xml:space="preserve">W przypadku, gdy okres delegowania jest dłuższy niż 3 dni, państwa członkowskie stosują przepisy art. 3 ust. 1 akapit pierwszy lit. b) i c) dyrektywy 96/71/WE w odniesieniu do całego okresu delegowania pracowników na ich terytorium w okresie jednego miesiąca kalendarzowego, o którym mowa w akapicie pierwszym. </w:t>
      </w:r>
    </w:p>
    <w:p w:rsidR="00DA2438" w:rsidRDefault="00430240">
      <w:pPr>
        <w:pStyle w:val="Point0"/>
        <w:rPr>
          <w:noProof/>
        </w:rPr>
      </w:pPr>
      <w:r>
        <w:rPr>
          <w:noProof/>
        </w:rPr>
        <w:t>3. Do celów wyliczenia okresów delegowania, o których mowa w ust. 2:</w:t>
      </w:r>
    </w:p>
    <w:p w:rsidR="00DA2438" w:rsidRDefault="00430240">
      <w:pPr>
        <w:pStyle w:val="Point0letter"/>
        <w:numPr>
          <w:ilvl w:val="1"/>
          <w:numId w:val="13"/>
        </w:numPr>
        <w:rPr>
          <w:noProof/>
        </w:rPr>
      </w:pPr>
      <w:r>
        <w:rPr>
          <w:noProof/>
        </w:rPr>
        <w:t>dzienny okres pracy przez okres krótszy niż sześć godzin spędzonych na terytorium przyjmującego państwa członkowskiego uważa się za pół dnia;</w:t>
      </w:r>
    </w:p>
    <w:p w:rsidR="00DA2438" w:rsidRDefault="00430240">
      <w:pPr>
        <w:pStyle w:val="Point0letter"/>
        <w:numPr>
          <w:ilvl w:val="1"/>
          <w:numId w:val="13"/>
        </w:numPr>
        <w:rPr>
          <w:noProof/>
        </w:rPr>
      </w:pPr>
      <w:r>
        <w:rPr>
          <w:noProof/>
        </w:rPr>
        <w:t>dzienny okres pracy przez okres co najmniej sześciu godzin spędzonych na terytorium przyjmującego państwa członkowskiego uważa się za cały dzień;</w:t>
      </w:r>
    </w:p>
    <w:p w:rsidR="00DA2438" w:rsidRDefault="00430240">
      <w:pPr>
        <w:pStyle w:val="Point0letter"/>
        <w:numPr>
          <w:ilvl w:val="1"/>
          <w:numId w:val="13"/>
        </w:numPr>
        <w:rPr>
          <w:noProof/>
        </w:rPr>
      </w:pPr>
      <w:r>
        <w:rPr>
          <w:noProof/>
        </w:rPr>
        <w:t>przerwy i okresy odpoczynku oraz okresy gotowości spędzone na terytorium przyjmującego państwa członkowskiego uważa się za okres pracy.</w:t>
      </w:r>
    </w:p>
    <w:p w:rsidR="00DA2438" w:rsidRDefault="00430240">
      <w:pPr>
        <w:pStyle w:val="Point0"/>
        <w:rPr>
          <w:noProof/>
        </w:rPr>
      </w:pPr>
      <w:r>
        <w:rPr>
          <w:noProof/>
        </w:rPr>
        <w:t>4.</w:t>
      </w:r>
      <w:r>
        <w:rPr>
          <w:noProof/>
        </w:rPr>
        <w:tab/>
        <w:t>Państwa członkowskie mogą wprowadzać wyłącznie następujące wymogi administracyjne i środki kontrolne:</w:t>
      </w:r>
    </w:p>
    <w:p w:rsidR="00DA2438" w:rsidRDefault="00430240">
      <w:pPr>
        <w:pStyle w:val="Point0letter"/>
        <w:numPr>
          <w:ilvl w:val="1"/>
          <w:numId w:val="8"/>
        </w:numPr>
        <w:tabs>
          <w:tab w:val="num" w:pos="0"/>
        </w:tabs>
        <w:ind w:left="0" w:firstLine="0"/>
        <w:rPr>
          <w:noProof/>
        </w:rPr>
      </w:pPr>
      <w:r>
        <w:rPr>
          <w:noProof/>
        </w:rPr>
        <w:t>obowiązek przewoźnika drogowego mającego siedzibę w innym państwie członkowskim do przesłania zgłoszenia delegowania właściwym organom krajowym, najpóźniej w momencie rozpoczęcia delegowania, w postaci elektronicznej w jednym z języków urzędowych przyjmującego państwa członkowskiego lub w języku angielskim, zawierającego następujące informacje:</w:t>
      </w:r>
    </w:p>
    <w:p w:rsidR="00DA2438" w:rsidRDefault="00430240">
      <w:pPr>
        <w:autoSpaceDE w:val="0"/>
        <w:autoSpaceDN w:val="0"/>
        <w:ind w:left="709"/>
        <w:rPr>
          <w:rFonts w:eastAsiaTheme="minorEastAsia"/>
          <w:noProof/>
          <w:szCs w:val="24"/>
        </w:rPr>
      </w:pPr>
      <w:r>
        <w:rPr>
          <w:noProof/>
        </w:rPr>
        <w:t>(i)</w:t>
      </w:r>
      <w:r>
        <w:rPr>
          <w:noProof/>
        </w:rPr>
        <w:tab/>
        <w:t>tożsamość przewoźnika drogowego;</w:t>
      </w:r>
    </w:p>
    <w:p w:rsidR="00DA2438" w:rsidRDefault="00430240">
      <w:pPr>
        <w:autoSpaceDE w:val="0"/>
        <w:autoSpaceDN w:val="0"/>
        <w:ind w:left="1440" w:hanging="731"/>
        <w:rPr>
          <w:rFonts w:eastAsiaTheme="minorEastAsia"/>
          <w:noProof/>
          <w:szCs w:val="24"/>
        </w:rPr>
      </w:pPr>
      <w:r>
        <w:rPr>
          <w:noProof/>
        </w:rPr>
        <w:t xml:space="preserve">(ii) </w:t>
      </w:r>
      <w:r>
        <w:rPr>
          <w:noProof/>
        </w:rPr>
        <w:tab/>
        <w:t>dane kontaktowe zarządzającego transportem lub innej(-ych) osoby (osób) wyznaczonej (-ych) w państwie członkowskim siedziby do kontaktów z właściwymi organami państwa przyjmującego, w którym świadczone są usługi, oraz która (-e) przesyła (-ją) i otrzymuje (-ją) dokumenty lub zawiadomienia;</w:t>
      </w:r>
    </w:p>
    <w:p w:rsidR="00DA2438" w:rsidRDefault="00430240">
      <w:pPr>
        <w:autoSpaceDE w:val="0"/>
        <w:autoSpaceDN w:val="0"/>
        <w:ind w:left="709"/>
        <w:rPr>
          <w:rFonts w:eastAsiaTheme="minorEastAsia"/>
          <w:noProof/>
          <w:szCs w:val="24"/>
        </w:rPr>
      </w:pPr>
      <w:r>
        <w:rPr>
          <w:noProof/>
        </w:rPr>
        <w:t>(iii)</w:t>
      </w:r>
      <w:r>
        <w:rPr>
          <w:noProof/>
        </w:rPr>
        <w:tab/>
        <w:t>przewidywana liczba i tożsamość kierowców;</w:t>
      </w:r>
    </w:p>
    <w:p w:rsidR="00DA2438" w:rsidRDefault="00430240">
      <w:pPr>
        <w:autoSpaceDE w:val="0"/>
        <w:autoSpaceDN w:val="0"/>
        <w:ind w:firstLine="720"/>
        <w:rPr>
          <w:rFonts w:eastAsiaTheme="minorEastAsia"/>
          <w:noProof/>
          <w:szCs w:val="24"/>
        </w:rPr>
      </w:pPr>
      <w:r>
        <w:rPr>
          <w:noProof/>
        </w:rPr>
        <w:lastRenderedPageBreak/>
        <w:t>(iv)</w:t>
      </w:r>
      <w:r>
        <w:rPr>
          <w:noProof/>
        </w:rPr>
        <w:tab/>
        <w:t>przewidywany czas trwania delegowania, przewidywane daty rozpoczęcia i zakończenia delegowania;</w:t>
      </w:r>
    </w:p>
    <w:p w:rsidR="00DA2438" w:rsidRDefault="00430240">
      <w:pPr>
        <w:autoSpaceDE w:val="0"/>
        <w:autoSpaceDN w:val="0"/>
        <w:ind w:left="709"/>
        <w:rPr>
          <w:rFonts w:eastAsiaTheme="minorEastAsia"/>
          <w:noProof/>
          <w:szCs w:val="24"/>
        </w:rPr>
      </w:pPr>
      <w:r>
        <w:rPr>
          <w:noProof/>
        </w:rPr>
        <w:t>(v)</w:t>
      </w:r>
      <w:r>
        <w:rPr>
          <w:noProof/>
        </w:rPr>
        <w:tab/>
        <w:t>numery tablic rejestracyjnych pojazdów wykorzystywanych do delegowania;</w:t>
      </w:r>
    </w:p>
    <w:p w:rsidR="00DA2438" w:rsidRDefault="00430240">
      <w:pPr>
        <w:autoSpaceDE w:val="0"/>
        <w:autoSpaceDN w:val="0"/>
        <w:ind w:left="1440" w:hanging="720"/>
        <w:rPr>
          <w:rFonts w:eastAsiaTheme="minorEastAsia"/>
          <w:noProof/>
          <w:szCs w:val="24"/>
        </w:rPr>
      </w:pPr>
      <w:r>
        <w:rPr>
          <w:noProof/>
        </w:rPr>
        <w:t>(vi)</w:t>
      </w:r>
      <w:r>
        <w:rPr>
          <w:noProof/>
        </w:rPr>
        <w:tab/>
        <w:t>rodzaj świadczonych usług transportu, to znaczy przewóz towarów, przewóz osób, przewóz międzynarodowy, przewóz kabotażowy;</w:t>
      </w:r>
    </w:p>
    <w:p w:rsidR="00DA2438" w:rsidRDefault="00430240">
      <w:pPr>
        <w:pStyle w:val="Point0letter"/>
        <w:numPr>
          <w:ilvl w:val="1"/>
          <w:numId w:val="8"/>
        </w:numPr>
        <w:tabs>
          <w:tab w:val="num" w:pos="0"/>
        </w:tabs>
        <w:ind w:left="0" w:firstLine="0"/>
        <w:rPr>
          <w:noProof/>
        </w:rPr>
      </w:pPr>
      <w:r>
        <w:rPr>
          <w:noProof/>
        </w:rPr>
        <w:t xml:space="preserve">zobowiązanie kierowców do prowadzenia i udostępniania na żądanie w trakcie kontroli drogowej, w formie papierowej lub elektronicznej, kopii zgłoszenia delegowania i dowodu operacji transportu odbywającej się w przyjmującym państwie członkowskim, np. elektroniczny list przewozowy (e-CMR) lub dowody, o których mowa w art. 8 rozporządzenia Parlamentu Europejskiego i Rady (WE) nr 1072/2009. </w:t>
      </w:r>
    </w:p>
    <w:p w:rsidR="00DA2438" w:rsidRDefault="00430240">
      <w:pPr>
        <w:pStyle w:val="Point0letter"/>
        <w:numPr>
          <w:ilvl w:val="1"/>
          <w:numId w:val="8"/>
        </w:numPr>
        <w:tabs>
          <w:tab w:val="num" w:pos="0"/>
        </w:tabs>
        <w:ind w:left="0" w:firstLine="0"/>
        <w:rPr>
          <w:noProof/>
        </w:rPr>
      </w:pPr>
      <w:r>
        <w:rPr>
          <w:noProof/>
        </w:rPr>
        <w:t xml:space="preserve">zobowiązanie kierowców do prowadzenia i udostępniania na żądanie w trakcie kontroli drogowej zapisów tachografu, a w szczególności zapisów dotyczących kodów krajów państw członkowskich, w których kierowca przebywał podczas prowadzenia operacji międzynarodowego transportu drogowego lub przewozów kabotażowych; </w:t>
      </w:r>
    </w:p>
    <w:p w:rsidR="00DA2438" w:rsidRDefault="00430240">
      <w:pPr>
        <w:pStyle w:val="Point0letter"/>
        <w:numPr>
          <w:ilvl w:val="1"/>
          <w:numId w:val="8"/>
        </w:numPr>
        <w:tabs>
          <w:tab w:val="num" w:pos="0"/>
        </w:tabs>
        <w:ind w:left="0" w:firstLine="0"/>
        <w:rPr>
          <w:noProof/>
        </w:rPr>
      </w:pPr>
      <w:r>
        <w:rPr>
          <w:noProof/>
        </w:rPr>
        <w:t>zobowiązanie kierowców do prowadzenia i udostępniania na żądanie w trakcie kontroli drogowej, w formie papierowej lub elektronicznej, kopii umowy o pracę lub dokumentu równoważnego w rozumieniu art. 3 dyrektywy Rady 91/533/EWG</w:t>
      </w:r>
      <w:r>
        <w:rPr>
          <w:rStyle w:val="Odwoanieprzypisudolnego"/>
          <w:noProof/>
        </w:rPr>
        <w:footnoteReference w:id="20"/>
      </w:r>
      <w:r>
        <w:rPr>
          <w:noProof/>
        </w:rPr>
        <w:t>, przetłumaczonej na jeden z języków urzędowych przyjmującego państwa członkowskiego lub na język angielski;</w:t>
      </w:r>
    </w:p>
    <w:p w:rsidR="00DA2438" w:rsidRDefault="00430240">
      <w:pPr>
        <w:pStyle w:val="Point0letter"/>
        <w:numPr>
          <w:ilvl w:val="1"/>
          <w:numId w:val="8"/>
        </w:numPr>
        <w:tabs>
          <w:tab w:val="num" w:pos="0"/>
        </w:tabs>
        <w:ind w:left="0" w:firstLine="0"/>
        <w:rPr>
          <w:noProof/>
        </w:rPr>
      </w:pPr>
      <w:r>
        <w:rPr>
          <w:noProof/>
        </w:rPr>
        <w:t>zobowiązanie kierowców do udostępniania na żądanie w trakcie kontroli drogowej, w formie papierowej lub elektronicznej, kopii odcinków wypłaty za ostatnie dwa miesiące; podczas kontroli drogowej kierowca musi mieć możliwość skontaktowania się z siedzibą główną, zarządzającym transportem lub inną osobą lub podmiotem, który może dostarczyć mu tę kopię;</w:t>
      </w:r>
    </w:p>
    <w:p w:rsidR="00DA2438" w:rsidRDefault="00430240">
      <w:pPr>
        <w:pStyle w:val="Point0letter"/>
        <w:numPr>
          <w:ilvl w:val="1"/>
          <w:numId w:val="8"/>
        </w:numPr>
        <w:tabs>
          <w:tab w:val="num" w:pos="0"/>
        </w:tabs>
        <w:ind w:left="0" w:firstLine="0"/>
        <w:rPr>
          <w:noProof/>
        </w:rPr>
      </w:pPr>
      <w:r>
        <w:rPr>
          <w:noProof/>
        </w:rPr>
        <w:t xml:space="preserve">obowiązek przewoźnika drogowego do wydania, po okresie delegowania, w formie papierowej lub elektronicznej, kopii dokumentów, o których mowa w lit. b), c) i e), na wniosek organów przyjmującego państwa członkowskiego w rozsądnym okresie czasu; </w:t>
      </w:r>
    </w:p>
    <w:p w:rsidR="00DA2438" w:rsidRDefault="00430240">
      <w:pPr>
        <w:pStyle w:val="Point0"/>
        <w:rPr>
          <w:noProof/>
        </w:rPr>
      </w:pPr>
      <w:r>
        <w:rPr>
          <w:noProof/>
        </w:rPr>
        <w:t>5.</w:t>
      </w:r>
      <w:r>
        <w:rPr>
          <w:noProof/>
        </w:rPr>
        <w:tab/>
        <w:t xml:space="preserve">Do celów ust. 4 lit. a), przewoźnik drogowy może dostarczyć zgłoszenie delegowania obejmujące okres nieprzekraczający sześciu miesięcy. </w:t>
      </w:r>
    </w:p>
    <w:p w:rsidR="00DA2438" w:rsidRDefault="00430240">
      <w:pPr>
        <w:spacing w:before="100" w:beforeAutospacing="1" w:after="100" w:afterAutospacing="1"/>
        <w:ind w:left="720"/>
        <w:jc w:val="center"/>
        <w:rPr>
          <w:iCs/>
          <w:noProof/>
          <w:color w:val="000000"/>
        </w:rPr>
      </w:pPr>
      <w:r>
        <w:rPr>
          <w:noProof/>
          <w:color w:val="000000"/>
        </w:rPr>
        <w:t>Artykuł 3</w:t>
      </w:r>
    </w:p>
    <w:p w:rsidR="00DA2438" w:rsidRDefault="00430240">
      <w:pPr>
        <w:pStyle w:val="Point0"/>
        <w:rPr>
          <w:noProof/>
        </w:rPr>
      </w:pPr>
      <w:r>
        <w:rPr>
          <w:noProof/>
        </w:rPr>
        <w:t xml:space="preserve">Komisja oceni wykonanie niniejszej dyrektywy, w szczególności wpływ art. 2, do dnia [3 lata od daty transpozycji niniejszej dyrektywy] i przedstawi Parlamentowi Europejskiemu i Radzie sprawozdanie w sprawie stosowania niniejszej dyrektywy. W stosownych przypadkach sprawozdaniu Komisji towarzyszy wniosek ustawodawczy. </w:t>
      </w:r>
    </w:p>
    <w:p w:rsidR="00DA2438" w:rsidRDefault="00430240">
      <w:pPr>
        <w:pStyle w:val="Point0"/>
        <w:rPr>
          <w:noProof/>
        </w:rPr>
      </w:pPr>
      <w:r>
        <w:rPr>
          <w:noProof/>
        </w:rPr>
        <w:t xml:space="preserve">Po przedłożeniu sprawozdania, o którym mowa w ust. 1, Komisja regularnie dokonuje oceny niniejszej dyrektywy i przedkłada wyniki oceny Parlamentowi Europejskiemu i Radzie. </w:t>
      </w:r>
    </w:p>
    <w:p w:rsidR="00DA2438" w:rsidRDefault="00430240">
      <w:pPr>
        <w:pStyle w:val="Point0"/>
        <w:rPr>
          <w:noProof/>
        </w:rPr>
      </w:pPr>
      <w:r>
        <w:rPr>
          <w:noProof/>
        </w:rPr>
        <w:t>W stosownych przypadkach do sprawozdań, o których mowa w ust. 1 i 2, dołącza są odpowiednie wnioski.</w:t>
      </w:r>
    </w:p>
    <w:p w:rsidR="00DA2438" w:rsidRDefault="00DA2438">
      <w:pPr>
        <w:pStyle w:val="Point0"/>
        <w:rPr>
          <w:noProof/>
        </w:rPr>
      </w:pPr>
    </w:p>
    <w:p w:rsidR="00DA2438" w:rsidRDefault="00430240">
      <w:pPr>
        <w:pStyle w:val="Titrearticle"/>
        <w:keepLines/>
        <w:rPr>
          <w:noProof/>
        </w:rPr>
      </w:pPr>
      <w:r>
        <w:rPr>
          <w:noProof/>
        </w:rPr>
        <w:t xml:space="preserve">Artykuł 4 </w:t>
      </w:r>
    </w:p>
    <w:p w:rsidR="00DA2438" w:rsidRDefault="00430240">
      <w:pPr>
        <w:pStyle w:val="ManualNumPar1"/>
        <w:rPr>
          <w:noProof/>
        </w:rPr>
      </w:pPr>
      <w:r>
        <w:rPr>
          <w:noProof/>
        </w:rPr>
        <w:t xml:space="preserve">1. </w:t>
      </w:r>
      <w:r>
        <w:rPr>
          <w:noProof/>
        </w:rPr>
        <w:tab/>
        <w:t>Państwa członkowskie przyjmują i publikują, najpóźniej do dnia [...] r. [termin transpozycji będzie możliwie najkrótszy i zasadniczo nie będzie przekraczać dwóch lat] r., przepisy ustawowe, wykonawcze i administracyjne niezbędne do wykonania niniejszej dyrektywy. Niezwłocznie przekazują Komisji tekst tych przepisów.</w:t>
      </w:r>
    </w:p>
    <w:p w:rsidR="00DA2438" w:rsidRDefault="00430240">
      <w:pPr>
        <w:pStyle w:val="Text1"/>
        <w:rPr>
          <w:noProof/>
        </w:rPr>
      </w:pPr>
      <w:r>
        <w:rPr>
          <w:noProof/>
        </w:rPr>
        <w:t>Państwa członkowskie stosują te przepisy od dnia [...] r.</w:t>
      </w:r>
    </w:p>
    <w:p w:rsidR="00DA2438" w:rsidRDefault="00430240">
      <w:pPr>
        <w:pStyle w:val="Text1"/>
        <w:rPr>
          <w:noProof/>
        </w:rPr>
      </w:pPr>
      <w:r>
        <w:rPr>
          <w:noProof/>
        </w:rPr>
        <w:t>Przepisy przyjęte przez państwa członkowskie zawierają odniesienie do niniejszej dyrektywy lub odniesienie takie towarzyszy ich urzędowej publikacji. Metody dokonywania takiego odniesienia określane są przez państwa członkowskie.</w:t>
      </w:r>
    </w:p>
    <w:p w:rsidR="00DA2438" w:rsidRDefault="00430240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Państwa członkowskie przekazują Komisji tekst podstawowych przepisów prawa krajowego, przyjętych w dziedzinie objętej niniejszą dyrektywą.</w:t>
      </w:r>
    </w:p>
    <w:p w:rsidR="00DA2438" w:rsidRDefault="00430240">
      <w:pPr>
        <w:pStyle w:val="Titrearticle"/>
        <w:rPr>
          <w:noProof/>
        </w:rPr>
      </w:pPr>
      <w:r>
        <w:rPr>
          <w:noProof/>
        </w:rPr>
        <w:t>Artykuł 5</w:t>
      </w:r>
    </w:p>
    <w:p w:rsidR="00DA2438" w:rsidRDefault="00430240">
      <w:pPr>
        <w:rPr>
          <w:noProof/>
        </w:rPr>
      </w:pPr>
      <w:r>
        <w:rPr>
          <w:noProof/>
        </w:rPr>
        <w:t xml:space="preserve">Niniejsza dyrektywa wchodzi w życie  dnia po jej opublikowaniu w </w:t>
      </w:r>
      <w:r>
        <w:rPr>
          <w:i/>
          <w:noProof/>
        </w:rPr>
        <w:t>Dzienniku Urzędowym Unii Europejskiej</w:t>
      </w:r>
      <w:r>
        <w:rPr>
          <w:noProof/>
        </w:rPr>
        <w:t>.</w:t>
      </w:r>
    </w:p>
    <w:p w:rsidR="00DA2438" w:rsidRDefault="00430240">
      <w:pPr>
        <w:pStyle w:val="Titrearticle"/>
        <w:rPr>
          <w:noProof/>
        </w:rPr>
      </w:pPr>
      <w:r>
        <w:rPr>
          <w:noProof/>
        </w:rPr>
        <w:t>Artykuł 6</w:t>
      </w:r>
    </w:p>
    <w:p w:rsidR="00DA2438" w:rsidRDefault="00430240">
      <w:pPr>
        <w:keepNext/>
        <w:keepLines/>
        <w:rPr>
          <w:noProof/>
        </w:rPr>
      </w:pPr>
      <w:r>
        <w:rPr>
          <w:noProof/>
        </w:rPr>
        <w:t>Niniejsza dyrektywa skierowana jest do państw członkowskich.</w:t>
      </w:r>
    </w:p>
    <w:p w:rsidR="00DA2438" w:rsidRDefault="00430240" w:rsidP="00430240">
      <w:pPr>
        <w:pStyle w:val="Fait"/>
        <w:rPr>
          <w:noProof/>
        </w:rPr>
      </w:pPr>
      <w:r w:rsidRPr="00430240">
        <w:t>Sporządzono w Brukseli dnia  r.</w:t>
      </w:r>
    </w:p>
    <w:p w:rsidR="00DA2438" w:rsidRDefault="00430240">
      <w:pPr>
        <w:pStyle w:val="Institutionquisigne"/>
        <w:rPr>
          <w:noProof/>
        </w:rPr>
      </w:pPr>
      <w:r>
        <w:rPr>
          <w:noProof/>
        </w:rPr>
        <w:t>W imieniu Parlamentu Europejskiego</w:t>
      </w:r>
      <w:r>
        <w:rPr>
          <w:noProof/>
        </w:rPr>
        <w:tab/>
        <w:t>W imieniu Rady</w:t>
      </w:r>
    </w:p>
    <w:p w:rsidR="00DA2438" w:rsidRPr="00430240" w:rsidRDefault="00430240">
      <w:pPr>
        <w:pStyle w:val="Personnequisigne"/>
        <w:rPr>
          <w:noProof/>
        </w:rPr>
      </w:pPr>
      <w:r>
        <w:rPr>
          <w:noProof/>
        </w:rPr>
        <w:t>Przewodniczący</w:t>
      </w:r>
      <w:r>
        <w:rPr>
          <w:noProof/>
        </w:rPr>
        <w:tab/>
        <w:t>Przewodniczący</w:t>
      </w:r>
    </w:p>
    <w:sectPr w:rsidR="00DA2438" w:rsidRPr="00430240" w:rsidSect="00430240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735208" w15:done="0"/>
  <w15:commentEx w15:paraId="571EBF84" w15:done="0"/>
  <w15:commentEx w15:paraId="51A61726" w15:done="0"/>
  <w15:commentEx w15:paraId="52F854CC" w15:done="0"/>
  <w15:commentEx w15:paraId="1BD9F665" w15:done="0"/>
  <w15:commentEx w15:paraId="13CE43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E2" w:rsidRDefault="00B93CE2">
      <w:pPr>
        <w:spacing w:before="0" w:after="0"/>
      </w:pPr>
      <w:r>
        <w:separator/>
      </w:r>
    </w:p>
  </w:endnote>
  <w:endnote w:type="continuationSeparator" w:id="0">
    <w:p w:rsidR="00B93CE2" w:rsidRDefault="00B93C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40" w:rsidRPr="00430240" w:rsidRDefault="00430240" w:rsidP="004302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38" w:rsidRPr="00430240" w:rsidRDefault="00430240" w:rsidP="00430240">
    <w:pPr>
      <w:pStyle w:val="Stopka"/>
      <w:rPr>
        <w:rFonts w:ascii="Arial" w:hAnsi="Arial" w:cs="Arial"/>
        <w:b/>
        <w:sz w:val="48"/>
      </w:rPr>
    </w:pPr>
    <w:r w:rsidRPr="00430240">
      <w:rPr>
        <w:rFonts w:ascii="Arial" w:hAnsi="Arial" w:cs="Arial"/>
        <w:b/>
        <w:sz w:val="48"/>
      </w:rPr>
      <w:t>PL</w:t>
    </w:r>
    <w:r w:rsidRPr="00430240">
      <w:rPr>
        <w:rFonts w:ascii="Arial" w:hAnsi="Arial" w:cs="Arial"/>
        <w:b/>
        <w:sz w:val="48"/>
      </w:rPr>
      <w:tab/>
    </w:r>
    <w:r w:rsidRPr="00430240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430240">
      <w:tab/>
    </w:r>
    <w:proofErr w:type="spellStart"/>
    <w:r w:rsidRPr="00430240">
      <w:rPr>
        <w:rFonts w:ascii="Arial" w:hAnsi="Arial" w:cs="Arial"/>
        <w:b/>
        <w:sz w:val="48"/>
      </w:rPr>
      <w:t>PL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40" w:rsidRPr="00430240" w:rsidRDefault="00430240" w:rsidP="0043024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38" w:rsidRPr="00430240" w:rsidRDefault="00430240" w:rsidP="00430240">
    <w:pPr>
      <w:pStyle w:val="Stopka"/>
      <w:rPr>
        <w:rFonts w:ascii="Arial" w:hAnsi="Arial" w:cs="Arial"/>
        <w:b/>
        <w:sz w:val="48"/>
      </w:rPr>
    </w:pPr>
    <w:r w:rsidRPr="00430240">
      <w:rPr>
        <w:rFonts w:ascii="Arial" w:hAnsi="Arial" w:cs="Arial"/>
        <w:b/>
        <w:sz w:val="48"/>
      </w:rPr>
      <w:t>PL</w:t>
    </w:r>
    <w:r w:rsidRPr="00430240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C605C7">
      <w:rPr>
        <w:noProof/>
      </w:rPr>
      <w:t>20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430240">
      <w:tab/>
    </w:r>
    <w:r w:rsidRPr="00430240">
      <w:rPr>
        <w:rFonts w:ascii="Arial" w:hAnsi="Arial" w:cs="Arial"/>
        <w:b/>
        <w:sz w:val="48"/>
      </w:rPr>
      <w:t>PL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40" w:rsidRPr="00430240" w:rsidRDefault="00430240" w:rsidP="004302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E2" w:rsidRDefault="00B93CE2">
      <w:pPr>
        <w:spacing w:before="0" w:after="0"/>
      </w:pPr>
      <w:r>
        <w:separator/>
      </w:r>
    </w:p>
  </w:footnote>
  <w:footnote w:type="continuationSeparator" w:id="0">
    <w:p w:rsidR="00B93CE2" w:rsidRDefault="00B93CE2">
      <w:pPr>
        <w:spacing w:before="0" w:after="0"/>
      </w:pPr>
      <w:r>
        <w:continuationSeparator/>
      </w:r>
    </w:p>
  </w:footnote>
  <w:footnote w:id="1">
    <w:p w:rsidR="00DA2438" w:rsidRPr="00430240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COM(2011)144 wersja ostateczna.</w:t>
      </w:r>
    </w:p>
  </w:footnote>
  <w:footnote w:id="2">
    <w:p w:rsidR="00DA2438" w:rsidRPr="00430240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Dz.U. L 80 z 23.3.2002, s. 35.</w:t>
      </w:r>
    </w:p>
  </w:footnote>
  <w:footnote w:id="3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Dz.U. L 102 z 11.4.2006, s. 1.</w:t>
      </w:r>
    </w:p>
  </w:footnote>
  <w:footnote w:id="4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Dz.U. L 18 z 21.1.1997, s. 1.</w:t>
      </w:r>
    </w:p>
  </w:footnote>
  <w:footnote w:id="5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Dz.U. L 159 z 28.5.2014, s. 11.</w:t>
      </w:r>
    </w:p>
  </w:footnote>
  <w:footnote w:id="6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 xml:space="preserve">Ocena </w:t>
      </w:r>
      <w:r>
        <w:rPr>
          <w:i/>
        </w:rPr>
        <w:t>ex post</w:t>
      </w:r>
      <w:r>
        <w:t xml:space="preserve"> dotyczyła rozporządzenia (WE) nr 561/2006 w sprawie przepisów dotyczących czasu prowadzenia pojazdu, przerw i okresów odpoczynku, dyrektywy 2006/22/WE w sprawie egzekwowania przepisów rozporządzenia i dyrektywy 2002/15/WE w sprawie organizacji czasu pracy osób wykonujących czynności w trasie w zakresie transportu drogowego.</w:t>
      </w:r>
    </w:p>
  </w:footnote>
  <w:footnote w:id="7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COM(2016)128.</w:t>
      </w:r>
    </w:p>
  </w:footnote>
  <w:footnote w:id="8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Zob. przypis nr 1.</w:t>
      </w:r>
    </w:p>
  </w:footnote>
  <w:footnote w:id="9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</w:r>
      <w:hyperlink r:id="rId1">
        <w:r>
          <w:rPr>
            <w:rStyle w:val="Hipercze"/>
          </w:rPr>
          <w:t>https://ec.europa.eu/transport/sites/transport/files/facts-fundings/evaluations/doc/2016-ex-post-eval-road-transport-social-legislation-final-report.pdf</w:t>
        </w:r>
      </w:hyperlink>
    </w:p>
  </w:footnote>
  <w:footnote w:id="10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Streszczenie ustaleń</w:t>
      </w:r>
      <w:hyperlink r:id="rId2">
        <w:r>
          <w:rPr>
            <w:rStyle w:val="Hipercze"/>
          </w:rPr>
          <w:t>http://ec.europa.eu/transport/modes/road/consultations/2016-social-legislation-road_en</w:t>
        </w:r>
      </w:hyperlink>
    </w:p>
  </w:footnote>
  <w:footnote w:id="11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 xml:space="preserve">Sprawozdanie końcowe </w:t>
      </w:r>
      <w:hyperlink r:id="rId3">
        <w:r>
          <w:rPr>
            <w:rStyle w:val="Hipercze"/>
          </w:rPr>
          <w:t>https://ec.europa.eu/transport/sites/transport/files/facts-fundings/evaluations/doc/2016-ex-post-eval-road-transport-social-legislation-final-report.pdf</w:t>
        </w:r>
      </w:hyperlink>
    </w:p>
  </w:footnote>
  <w:footnote w:id="12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Dz.U. C  z , s. .</w:t>
      </w:r>
    </w:p>
  </w:footnote>
  <w:footnote w:id="13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Dz.U. C  z , s. .</w:t>
      </w:r>
    </w:p>
  </w:footnote>
  <w:footnote w:id="14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Rozporządzenie Parlamentu Europejskiego i Rady (UE) nr 182/2011 z dnia 16 lutego 2011 r. ustanawiające przepisy i zasady ogólne dotyczące trybu kontroli przez państwa członkowskie wykonywania uprawnień wykonawczych przez Komisję (Dz.U. L 55 z 28.2.2011, s. 13).</w:t>
      </w:r>
    </w:p>
  </w:footnote>
  <w:footnote w:id="15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Dyrektywa 96/71/WE Parlamentu Europejskiego i Rady z dnia 16 grudnia 1996 r. dotycząca delegowania pracowników w ramach świadczenia usług (Dz.U. L 18 z 21.1.1997, s. 1).</w:t>
      </w:r>
    </w:p>
  </w:footnote>
  <w:footnote w:id="16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Dyrektywa Parlamentu Europejskiego i Rady 2014/67/UE z dnia 15 maja 2014 r. w sprawie egzekwowania dyrektywy 96/71/WE dotyczącej delegowania pracowników w ramach świadczenia usług, zmieniająca rozporządzenie (UE) nr 1024/2012 w sprawie współpracy administracyjnej za pośrednictwem systemu wymiany informacji na rynku wewnętrznym („rozporządzenie w sprawie IMI”) (Dz.U. L 159 z 28.5.2014, s. 11).</w:t>
      </w:r>
    </w:p>
  </w:footnote>
  <w:footnote w:id="17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COM(2016)128</w:t>
      </w:r>
    </w:p>
  </w:footnote>
  <w:footnote w:id="18">
    <w:p w:rsidR="00DA2438" w:rsidRDefault="00430240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ab/>
        <w:t>Rozporządzenie Parlamentu Europejskiego i Rady (WE) nr 1072/2009 z dnia 21 października 2009 r. dotyczące wspólnych zasad dostępu do rynku międzynarodowych przewozów drogowych (Dz.U. L 300 z 14.11.2009, s. 72).</w:t>
      </w:r>
    </w:p>
  </w:footnote>
  <w:footnote w:id="19">
    <w:p w:rsidR="00DA2438" w:rsidRDefault="00430240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ab/>
        <w:t>Rozporządzenie Parlamentu Europejskiego i Rady (WE) nr 1073/2009 z dnia 21 października 2009 r. w sprawie wspólnych zasad dostępu do międzynarodowego rynku usług autokarowych i autobusowych i zmieniające rozporządzenie (WE) nr 561/2006 (Dz.U. L 300 z 14.11.2009, s. 88).</w:t>
      </w:r>
    </w:p>
  </w:footnote>
  <w:footnote w:id="20">
    <w:p w:rsidR="00DA2438" w:rsidRDefault="00430240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ab/>
        <w:t>Dyrektywa Rady 91/533/EWG z dnia 14 października 1991 r. w sprawie obowiązku pracodawcy dotyczącego informowania pracowników o warunkach stosowanych do umowy lub stosunku pracy (Dz.U. L 288 z 18.10.1991, s. 32).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40" w:rsidRPr="00430240" w:rsidRDefault="00430240" w:rsidP="004302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40" w:rsidRPr="00430240" w:rsidRDefault="00430240" w:rsidP="004302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40" w:rsidRPr="00430240" w:rsidRDefault="00430240" w:rsidP="004302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F09030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64AAE4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CFC015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A48AB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3BE739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7A743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6747F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31AD0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Nagwek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21"/>
    <w:lvlOverride w:ilvl="0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20"/>
  </w:num>
  <w:num w:numId="17">
    <w:abstractNumId w:val="11"/>
  </w:num>
  <w:num w:numId="18">
    <w:abstractNumId w:val="13"/>
  </w:num>
  <w:num w:numId="19">
    <w:abstractNumId w:val="9"/>
  </w:num>
  <w:num w:numId="20">
    <w:abstractNumId w:val="19"/>
  </w:num>
  <w:num w:numId="21">
    <w:abstractNumId w:val="8"/>
  </w:num>
  <w:num w:numId="22">
    <w:abstractNumId w:val="14"/>
  </w:num>
  <w:num w:numId="23">
    <w:abstractNumId w:val="16"/>
  </w:num>
  <w:num w:numId="24">
    <w:abstractNumId w:val="17"/>
  </w:num>
  <w:num w:numId="25">
    <w:abstractNumId w:val="10"/>
  </w:num>
  <w:num w:numId="26">
    <w:abstractNumId w:val="15"/>
  </w:num>
  <w:num w:numId="27">
    <w:abstractNumId w:val="21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6-07 09:39:0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8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5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NFIDENCE" w:val=" "/>
    <w:docVar w:name="LW_CONST_RESTREINT_UE" w:val="RESTREINT UE/EU RESTRICTED"/>
    <w:docVar w:name="LW_CORRIGENDUM" w:val="&lt;UNUSED&gt;"/>
    <w:docVar w:name="LW_COVERPAGE_GUID" w:val="2025CDC01AAE4B9C98951D62199970A8"/>
    <w:docVar w:name="LW_CROSSREFERENCE" w:val="{SWD(2017) 184 final}_x000a_{SWD(2017) 185 final}_x000a_{SWD(2017) 186 final}_x000a_{SWD(2017) 187 final}"/>
    <w:docVar w:name="LW_DocType" w:val="COM"/>
    <w:docVar w:name="LW_EMISSION" w:val="31.5.2017"/>
    <w:docVar w:name="LW_EMISSION_ISODATE" w:val="2017-05-31"/>
    <w:docVar w:name="LW_EMISSION_LOCATION" w:val="BRX"/>
    <w:docVar w:name="LW_EMISSION_PREFIX" w:val="Bruksela, dnia "/>
    <w:docVar w:name="LW_EMISSION_SUFFIX" w:val=" r."/>
    <w:docVar w:name="LW_ID_DOCMODEL" w:val="SJ-024"/>
    <w:docVar w:name="LW_ID_DOCSIGNATURE" w:val="SJ-024"/>
    <w:docVar w:name="LW_ID_DOCSTRUCTURE" w:val="COM/PL/ORG"/>
    <w:docVar w:name="LW_ID_DOCTYPE" w:val="SJ-024"/>
    <w:docVar w:name="LW_ID_STATUT" w:val="SJ-024"/>
    <w:docVar w:name="LW_INTERETEEE.CP" w:val="&lt;UNUSED&gt;"/>
    <w:docVar w:name="LW_LANGUE" w:val="PL"/>
    <w:docVar w:name="LW_MARKING" w:val="&lt;UNUSED&gt;"/>
    <w:docVar w:name="LW_NOM.INST" w:val="KOMISJA EUROPEJSKA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121"/>
    <w:docVar w:name="LW_REF.II.NEW.CP_YEAR" w:val="2017"/>
    <w:docVar w:name="LW_REF.INST.NEW" w:val="COM"/>
    <w:docVar w:name="LW_REF.INST.NEW_ADOPTED" w:val="final"/>
    <w:docVar w:name="LW_REF.INST.NEW_TEXT" w:val="(2017) 278"/>
    <w:docVar w:name="LW_REF.INTERNE" w:val="&lt;UNUSED&gt;"/>
    <w:docVar w:name="LW_SOUS.TITRE.OBJ.CP" w:val="&lt;UNUSED&gt;"/>
    <w:docVar w:name="LW_STATUT.CP" w:val="Wniosek"/>
    <w:docVar w:name="LW_SUPERTITRE" w:val="&lt;UNUSED&gt;"/>
    <w:docVar w:name="LW_TITRE.OBJ.CP" w:val="zmieniaj\u261?ca dyrektyw\u281? 2006/22/WE w odniesieniu do wymogów w zakresie egzekwowania prawa oraz ustanawiaj\u261?ca szczegó\u322?owe zasady w odniesieniu do dyrektywy 96/71/WE i dyrektywy 2014/67/UE dotycz\u261?ce delegowania kierowców w sektorze transportu drogowego "/>
    <w:docVar w:name="LW_TYPE.DOC.CP" w:val="DYREKTYWA PARLAMENTU EUROPEJSKIEGO I RADY"/>
  </w:docVars>
  <w:rsids>
    <w:rsidRoot w:val="00DA2438"/>
    <w:rsid w:val="00430240"/>
    <w:rsid w:val="007F7799"/>
    <w:rsid w:val="00B93CE2"/>
    <w:rsid w:val="00C605C7"/>
    <w:rsid w:val="00DA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Text1"/>
    <w:link w:val="Nagwek1Znak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4">
    <w:name w:val="List Number 4"/>
    <w:basedOn w:val="Normalny"/>
    <w:pPr>
      <w:numPr>
        <w:numId w:val="1"/>
      </w:numPr>
    </w:pPr>
    <w:rPr>
      <w:rFonts w:eastAsia="Times New Roman"/>
    </w:rPr>
  </w:style>
  <w:style w:type="character" w:styleId="Hipercze">
    <w:name w:val="Hyperlink"/>
    <w:rPr>
      <w:color w:val="0000FF"/>
      <w:u w:val="single"/>
      <w:shd w:val="clear" w:color="auto" w:fill="auto"/>
    </w:rPr>
  </w:style>
  <w:style w:type="paragraph" w:styleId="Listapunktowana">
    <w:name w:val="List Bullet"/>
    <w:basedOn w:val="Normalny"/>
    <w:uiPriority w:val="99"/>
    <w:semiHidden/>
    <w:unhideWhenUsed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pPr>
      <w:numPr>
        <w:numId w:val="4"/>
      </w:numPr>
      <w:tabs>
        <w:tab w:val="clear" w:pos="926"/>
        <w:tab w:val="num" w:pos="1209"/>
      </w:tabs>
      <w:ind w:left="1209"/>
      <w:contextualSpacing/>
    </w:pPr>
  </w:style>
  <w:style w:type="paragraph" w:styleId="Listapunktowana4">
    <w:name w:val="List Bullet 4"/>
    <w:basedOn w:val="Normalny"/>
    <w:uiPriority w:val="99"/>
    <w:semiHidden/>
    <w:unhideWhenUsed/>
    <w:pPr>
      <w:numPr>
        <w:numId w:val="5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  <w:lang w:val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semiHidden/>
    <w:unhideWhenUsed/>
    <w:pPr>
      <w:spacing w:after="0"/>
    </w:pPr>
  </w:style>
  <w:style w:type="paragraph" w:styleId="Listanumerowana">
    <w:name w:val="List Number"/>
    <w:basedOn w:val="Normalny"/>
    <w:uiPriority w:val="99"/>
    <w:semiHidden/>
    <w:unhideWhenUsed/>
    <w:pPr>
      <w:numPr>
        <w:numId w:val="9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pPr>
      <w:numPr>
        <w:numId w:val="10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pPr>
      <w:numPr>
        <w:numId w:val="11"/>
      </w:numPr>
      <w:contextualSpacing/>
    </w:pPr>
  </w:style>
  <w:style w:type="character" w:customStyle="1" w:styleId="italic1">
    <w:name w:val="italic1"/>
    <w:basedOn w:val="Domylnaczcionkaakapitu"/>
    <w:rPr>
      <w:i/>
      <w:iCs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430240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430240"/>
    <w:rPr>
      <w:rFonts w:ascii="Times New Roman" w:hAnsi="Times New Roman" w:cs="Times New Roman"/>
      <w:sz w:val="24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Nagwekspisutreci">
    <w:name w:val="TOC Heading"/>
    <w:basedOn w:val="Normalny"/>
    <w:next w:val="Normalny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semiHidden/>
    <w:unhideWhenUsed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430240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ny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Text2">
    <w:name w:val="Text 2"/>
    <w:basedOn w:val="Normalny"/>
    <w:pPr>
      <w:ind w:left="1417"/>
    </w:pPr>
  </w:style>
  <w:style w:type="paragraph" w:customStyle="1" w:styleId="Text3">
    <w:name w:val="Text 3"/>
    <w:basedOn w:val="Normalny"/>
    <w:pPr>
      <w:ind w:left="1984"/>
    </w:pPr>
  </w:style>
  <w:style w:type="paragraph" w:customStyle="1" w:styleId="Text4">
    <w:name w:val="Text 4"/>
    <w:basedOn w:val="Normalny"/>
    <w:pPr>
      <w:ind w:left="2551"/>
    </w:pPr>
  </w:style>
  <w:style w:type="paragraph" w:customStyle="1" w:styleId="NormalCentered">
    <w:name w:val="Normal Centered"/>
    <w:basedOn w:val="Normalny"/>
    <w:pPr>
      <w:jc w:val="center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NormalRight">
    <w:name w:val="Normal Right"/>
    <w:basedOn w:val="Normalny"/>
    <w:pPr>
      <w:jc w:val="right"/>
    </w:pPr>
  </w:style>
  <w:style w:type="paragraph" w:customStyle="1" w:styleId="QuotedText">
    <w:name w:val="Quoted Text"/>
    <w:basedOn w:val="Normalny"/>
    <w:pPr>
      <w:ind w:left="1417"/>
    </w:pPr>
  </w:style>
  <w:style w:type="paragraph" w:customStyle="1" w:styleId="Point0">
    <w:name w:val="Point 0"/>
    <w:basedOn w:val="Normalny"/>
    <w:pPr>
      <w:ind w:left="850" w:hanging="850"/>
    </w:pPr>
  </w:style>
  <w:style w:type="paragraph" w:customStyle="1" w:styleId="Point1">
    <w:name w:val="Point 1"/>
    <w:basedOn w:val="Normalny"/>
    <w:pPr>
      <w:ind w:left="1417" w:hanging="567"/>
    </w:pPr>
  </w:style>
  <w:style w:type="paragraph" w:customStyle="1" w:styleId="Point2">
    <w:name w:val="Point 2"/>
    <w:basedOn w:val="Normalny"/>
    <w:pPr>
      <w:ind w:left="1984" w:hanging="567"/>
    </w:pPr>
  </w:style>
  <w:style w:type="paragraph" w:customStyle="1" w:styleId="Point3">
    <w:name w:val="Point 3"/>
    <w:basedOn w:val="Normalny"/>
    <w:pPr>
      <w:ind w:left="2551" w:hanging="567"/>
    </w:pPr>
  </w:style>
  <w:style w:type="paragraph" w:customStyle="1" w:styleId="Point4">
    <w:name w:val="Point 4"/>
    <w:basedOn w:val="Normalny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ny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pPr>
      <w:numPr>
        <w:numId w:val="19"/>
      </w:numPr>
    </w:pPr>
  </w:style>
  <w:style w:type="paragraph" w:customStyle="1" w:styleId="NumPar2">
    <w:name w:val="NumPar 2"/>
    <w:basedOn w:val="Normalny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ny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ny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ny"/>
    <w:next w:val="Text1"/>
    <w:pPr>
      <w:ind w:left="850" w:hanging="850"/>
    </w:pPr>
  </w:style>
  <w:style w:type="paragraph" w:customStyle="1" w:styleId="ManualNumPar2">
    <w:name w:val="Manual NumPar 2"/>
    <w:basedOn w:val="Normalny"/>
    <w:next w:val="Text1"/>
    <w:pPr>
      <w:ind w:left="850" w:hanging="850"/>
    </w:pPr>
  </w:style>
  <w:style w:type="paragraph" w:customStyle="1" w:styleId="ManualNumPar3">
    <w:name w:val="Manual NumPar 3"/>
    <w:basedOn w:val="Normalny"/>
    <w:next w:val="Text1"/>
    <w:pPr>
      <w:ind w:left="850" w:hanging="850"/>
    </w:pPr>
  </w:style>
  <w:style w:type="paragraph" w:customStyle="1" w:styleId="ManualNumPar4">
    <w:name w:val="Manual NumPar 4"/>
    <w:basedOn w:val="Normalny"/>
    <w:next w:val="Text1"/>
    <w:pPr>
      <w:ind w:left="850" w:hanging="850"/>
    </w:pPr>
  </w:style>
  <w:style w:type="paragraph" w:customStyle="1" w:styleId="QuotedNumPar">
    <w:name w:val="Quoted NumPar"/>
    <w:basedOn w:val="Normalny"/>
    <w:pPr>
      <w:ind w:left="1417" w:hanging="567"/>
    </w:pPr>
  </w:style>
  <w:style w:type="paragraph" w:customStyle="1" w:styleId="ManualHeading1">
    <w:name w:val="Manual Heading 1"/>
    <w:basedOn w:val="Normalny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pPr>
      <w:jc w:val="center"/>
    </w:pPr>
    <w:rPr>
      <w:b/>
    </w:rPr>
  </w:style>
  <w:style w:type="character" w:customStyle="1" w:styleId="Marker">
    <w:name w:val="Marker"/>
    <w:basedOn w:val="Domylnaczcionkaakapitu"/>
    <w:rPr>
      <w:color w:val="0000FF"/>
      <w:shd w:val="clear" w:color="auto" w:fill="auto"/>
    </w:rPr>
  </w:style>
  <w:style w:type="character" w:customStyle="1" w:styleId="Marker1">
    <w:name w:val="Marker1"/>
    <w:basedOn w:val="Domylnaczcionkaakapitu"/>
    <w:rPr>
      <w:color w:val="008000"/>
      <w:shd w:val="clear" w:color="auto" w:fill="auto"/>
    </w:rPr>
  </w:style>
  <w:style w:type="character" w:customStyle="1" w:styleId="Marker2">
    <w:name w:val="Marker2"/>
    <w:basedOn w:val="Domylnaczcionkaakapitu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pPr>
      <w:numPr>
        <w:numId w:val="21"/>
      </w:numPr>
    </w:pPr>
  </w:style>
  <w:style w:type="paragraph" w:customStyle="1" w:styleId="Point1number">
    <w:name w:val="Point 1 (number)"/>
    <w:basedOn w:val="Normalny"/>
    <w:pPr>
      <w:numPr>
        <w:ilvl w:val="2"/>
        <w:numId w:val="21"/>
      </w:numPr>
    </w:pPr>
  </w:style>
  <w:style w:type="paragraph" w:customStyle="1" w:styleId="Point2number">
    <w:name w:val="Point 2 (number)"/>
    <w:basedOn w:val="Normalny"/>
    <w:pPr>
      <w:numPr>
        <w:ilvl w:val="4"/>
        <w:numId w:val="21"/>
      </w:numPr>
    </w:pPr>
  </w:style>
  <w:style w:type="paragraph" w:customStyle="1" w:styleId="Point3number">
    <w:name w:val="Point 3 (number)"/>
    <w:basedOn w:val="Normalny"/>
    <w:pPr>
      <w:numPr>
        <w:ilvl w:val="6"/>
        <w:numId w:val="21"/>
      </w:numPr>
    </w:pPr>
  </w:style>
  <w:style w:type="paragraph" w:customStyle="1" w:styleId="Point0letter">
    <w:name w:val="Point 0 (letter)"/>
    <w:basedOn w:val="Normalny"/>
    <w:pPr>
      <w:numPr>
        <w:ilvl w:val="1"/>
        <w:numId w:val="21"/>
      </w:numPr>
    </w:pPr>
  </w:style>
  <w:style w:type="paragraph" w:customStyle="1" w:styleId="Point1letter">
    <w:name w:val="Point 1 (letter)"/>
    <w:basedOn w:val="Normalny"/>
    <w:pPr>
      <w:numPr>
        <w:ilvl w:val="3"/>
        <w:numId w:val="21"/>
      </w:numPr>
    </w:pPr>
  </w:style>
  <w:style w:type="paragraph" w:customStyle="1" w:styleId="Point2letter">
    <w:name w:val="Point 2 (letter)"/>
    <w:basedOn w:val="Normalny"/>
    <w:pPr>
      <w:numPr>
        <w:ilvl w:val="5"/>
        <w:numId w:val="21"/>
      </w:numPr>
    </w:pPr>
  </w:style>
  <w:style w:type="paragraph" w:customStyle="1" w:styleId="Point3letter">
    <w:name w:val="Point 3 (letter)"/>
    <w:basedOn w:val="Normalny"/>
    <w:pPr>
      <w:numPr>
        <w:ilvl w:val="7"/>
        <w:numId w:val="21"/>
      </w:numPr>
    </w:pPr>
  </w:style>
  <w:style w:type="paragraph" w:customStyle="1" w:styleId="Point4letter">
    <w:name w:val="Point 4 (letter)"/>
    <w:basedOn w:val="Normalny"/>
    <w:pPr>
      <w:numPr>
        <w:ilvl w:val="8"/>
        <w:numId w:val="21"/>
      </w:numPr>
    </w:pPr>
  </w:style>
  <w:style w:type="paragraph" w:customStyle="1" w:styleId="Bullet0">
    <w:name w:val="Bullet 0"/>
    <w:basedOn w:val="Normalny"/>
    <w:pPr>
      <w:numPr>
        <w:numId w:val="22"/>
      </w:numPr>
    </w:pPr>
  </w:style>
  <w:style w:type="paragraph" w:customStyle="1" w:styleId="Bullet1">
    <w:name w:val="Bullet 1"/>
    <w:basedOn w:val="Normalny"/>
    <w:pPr>
      <w:numPr>
        <w:numId w:val="23"/>
      </w:numPr>
    </w:pPr>
  </w:style>
  <w:style w:type="paragraph" w:customStyle="1" w:styleId="Bullet2">
    <w:name w:val="Bullet 2"/>
    <w:basedOn w:val="Normalny"/>
    <w:pPr>
      <w:numPr>
        <w:numId w:val="24"/>
      </w:numPr>
    </w:pPr>
  </w:style>
  <w:style w:type="paragraph" w:customStyle="1" w:styleId="Bullet3">
    <w:name w:val="Bullet 3"/>
    <w:basedOn w:val="Normalny"/>
    <w:pPr>
      <w:numPr>
        <w:numId w:val="25"/>
      </w:numPr>
    </w:pPr>
  </w:style>
  <w:style w:type="paragraph" w:customStyle="1" w:styleId="Bullet4">
    <w:name w:val="Bullet 4"/>
    <w:basedOn w:val="Normalny"/>
    <w:pPr>
      <w:numPr>
        <w:numId w:val="26"/>
      </w:numPr>
    </w:pPr>
  </w:style>
  <w:style w:type="paragraph" w:customStyle="1" w:styleId="Annexetitreexpos">
    <w:name w:val="Annexe titre (exposé)"/>
    <w:basedOn w:val="Normalny"/>
    <w:next w:val="Normalny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pPr>
      <w:spacing w:before="480"/>
    </w:pPr>
  </w:style>
  <w:style w:type="paragraph" w:customStyle="1" w:styleId="Avertissementtitre">
    <w:name w:val="Avertissement titre"/>
    <w:basedOn w:val="Normalny"/>
    <w:next w:val="Normalny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pPr>
      <w:numPr>
        <w:numId w:val="27"/>
      </w:numPr>
    </w:pPr>
  </w:style>
  <w:style w:type="paragraph" w:customStyle="1" w:styleId="Corrigendum">
    <w:name w:val="Corrigendum"/>
    <w:basedOn w:val="Normalny"/>
    <w:next w:val="Normalny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pPr>
      <w:keepNext/>
    </w:pPr>
  </w:style>
  <w:style w:type="paragraph" w:customStyle="1" w:styleId="Institutionquiagit">
    <w:name w:val="Institution qui agit"/>
    <w:basedOn w:val="Normalny"/>
    <w:next w:val="Normalny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omylnaczcionkaakapitu"/>
    <w:rPr>
      <w:b/>
      <w:u w:val="single"/>
      <w:shd w:val="clear" w:color="auto" w:fill="auto"/>
    </w:rPr>
  </w:style>
  <w:style w:type="character" w:customStyle="1" w:styleId="Deleted">
    <w:name w:val="Deleted"/>
    <w:basedOn w:val="Domylnaczcionkaakapitu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Pr>
      <w:i/>
      <w:caps/>
    </w:rPr>
  </w:style>
  <w:style w:type="paragraph" w:customStyle="1" w:styleId="Pagedecouverture">
    <w:name w:val="Page de couverture"/>
    <w:basedOn w:val="Normalny"/>
    <w:next w:val="Normalny"/>
    <w:pPr>
      <w:spacing w:before="0" w:after="0"/>
    </w:pPr>
  </w:style>
  <w:style w:type="paragraph" w:customStyle="1" w:styleId="Supertitre">
    <w:name w:val="Supertitre"/>
    <w:basedOn w:val="Normalny"/>
    <w:next w:val="Normalny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pPr>
      <w:spacing w:before="360" w:after="0"/>
      <w:jc w:val="center"/>
    </w:pPr>
  </w:style>
  <w:style w:type="paragraph" w:customStyle="1" w:styleId="Rfrencecroise">
    <w:name w:val="Référence croisée"/>
    <w:basedOn w:val="Normalny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ny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pPr>
      <w:spacing w:after="240"/>
    </w:pPr>
  </w:style>
  <w:style w:type="paragraph" w:customStyle="1" w:styleId="Accompagnant">
    <w:name w:val="Accompagnant"/>
    <w:basedOn w:val="Normalny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ny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ny"/>
    <w:next w:val="Normalny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Text1"/>
    <w:link w:val="Nagwek1Znak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4">
    <w:name w:val="List Number 4"/>
    <w:basedOn w:val="Normalny"/>
    <w:pPr>
      <w:numPr>
        <w:numId w:val="1"/>
      </w:numPr>
    </w:pPr>
    <w:rPr>
      <w:rFonts w:eastAsia="Times New Roman"/>
    </w:rPr>
  </w:style>
  <w:style w:type="character" w:styleId="Hipercze">
    <w:name w:val="Hyperlink"/>
    <w:rPr>
      <w:color w:val="0000FF"/>
      <w:u w:val="single"/>
      <w:shd w:val="clear" w:color="auto" w:fill="auto"/>
    </w:rPr>
  </w:style>
  <w:style w:type="paragraph" w:styleId="Listapunktowana">
    <w:name w:val="List Bullet"/>
    <w:basedOn w:val="Normalny"/>
    <w:uiPriority w:val="99"/>
    <w:semiHidden/>
    <w:unhideWhenUsed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pPr>
      <w:numPr>
        <w:numId w:val="4"/>
      </w:numPr>
      <w:tabs>
        <w:tab w:val="clear" w:pos="926"/>
        <w:tab w:val="num" w:pos="1209"/>
      </w:tabs>
      <w:ind w:left="1209"/>
      <w:contextualSpacing/>
    </w:pPr>
  </w:style>
  <w:style w:type="paragraph" w:styleId="Listapunktowana4">
    <w:name w:val="List Bullet 4"/>
    <w:basedOn w:val="Normalny"/>
    <w:uiPriority w:val="99"/>
    <w:semiHidden/>
    <w:unhideWhenUsed/>
    <w:pPr>
      <w:numPr>
        <w:numId w:val="5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  <w:lang w:val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semiHidden/>
    <w:unhideWhenUsed/>
    <w:pPr>
      <w:spacing w:after="0"/>
    </w:pPr>
  </w:style>
  <w:style w:type="paragraph" w:styleId="Listanumerowana">
    <w:name w:val="List Number"/>
    <w:basedOn w:val="Normalny"/>
    <w:uiPriority w:val="99"/>
    <w:semiHidden/>
    <w:unhideWhenUsed/>
    <w:pPr>
      <w:numPr>
        <w:numId w:val="9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pPr>
      <w:numPr>
        <w:numId w:val="10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pPr>
      <w:numPr>
        <w:numId w:val="11"/>
      </w:numPr>
      <w:contextualSpacing/>
    </w:pPr>
  </w:style>
  <w:style w:type="character" w:customStyle="1" w:styleId="italic1">
    <w:name w:val="italic1"/>
    <w:basedOn w:val="Domylnaczcionkaakapitu"/>
    <w:rPr>
      <w:i/>
      <w:iCs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430240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430240"/>
    <w:rPr>
      <w:rFonts w:ascii="Times New Roman" w:hAnsi="Times New Roman" w:cs="Times New Roman"/>
      <w:sz w:val="24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Nagwekspisutreci">
    <w:name w:val="TOC Heading"/>
    <w:basedOn w:val="Normalny"/>
    <w:next w:val="Normalny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semiHidden/>
    <w:unhideWhenUsed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430240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ny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Text2">
    <w:name w:val="Text 2"/>
    <w:basedOn w:val="Normalny"/>
    <w:pPr>
      <w:ind w:left="1417"/>
    </w:pPr>
  </w:style>
  <w:style w:type="paragraph" w:customStyle="1" w:styleId="Text3">
    <w:name w:val="Text 3"/>
    <w:basedOn w:val="Normalny"/>
    <w:pPr>
      <w:ind w:left="1984"/>
    </w:pPr>
  </w:style>
  <w:style w:type="paragraph" w:customStyle="1" w:styleId="Text4">
    <w:name w:val="Text 4"/>
    <w:basedOn w:val="Normalny"/>
    <w:pPr>
      <w:ind w:left="2551"/>
    </w:pPr>
  </w:style>
  <w:style w:type="paragraph" w:customStyle="1" w:styleId="NormalCentered">
    <w:name w:val="Normal Centered"/>
    <w:basedOn w:val="Normalny"/>
    <w:pPr>
      <w:jc w:val="center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NormalRight">
    <w:name w:val="Normal Right"/>
    <w:basedOn w:val="Normalny"/>
    <w:pPr>
      <w:jc w:val="right"/>
    </w:pPr>
  </w:style>
  <w:style w:type="paragraph" w:customStyle="1" w:styleId="QuotedText">
    <w:name w:val="Quoted Text"/>
    <w:basedOn w:val="Normalny"/>
    <w:pPr>
      <w:ind w:left="1417"/>
    </w:pPr>
  </w:style>
  <w:style w:type="paragraph" w:customStyle="1" w:styleId="Point0">
    <w:name w:val="Point 0"/>
    <w:basedOn w:val="Normalny"/>
    <w:pPr>
      <w:ind w:left="850" w:hanging="850"/>
    </w:pPr>
  </w:style>
  <w:style w:type="paragraph" w:customStyle="1" w:styleId="Point1">
    <w:name w:val="Point 1"/>
    <w:basedOn w:val="Normalny"/>
    <w:pPr>
      <w:ind w:left="1417" w:hanging="567"/>
    </w:pPr>
  </w:style>
  <w:style w:type="paragraph" w:customStyle="1" w:styleId="Point2">
    <w:name w:val="Point 2"/>
    <w:basedOn w:val="Normalny"/>
    <w:pPr>
      <w:ind w:left="1984" w:hanging="567"/>
    </w:pPr>
  </w:style>
  <w:style w:type="paragraph" w:customStyle="1" w:styleId="Point3">
    <w:name w:val="Point 3"/>
    <w:basedOn w:val="Normalny"/>
    <w:pPr>
      <w:ind w:left="2551" w:hanging="567"/>
    </w:pPr>
  </w:style>
  <w:style w:type="paragraph" w:customStyle="1" w:styleId="Point4">
    <w:name w:val="Point 4"/>
    <w:basedOn w:val="Normalny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ny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pPr>
      <w:numPr>
        <w:numId w:val="19"/>
      </w:numPr>
    </w:pPr>
  </w:style>
  <w:style w:type="paragraph" w:customStyle="1" w:styleId="NumPar2">
    <w:name w:val="NumPar 2"/>
    <w:basedOn w:val="Normalny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ny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ny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ny"/>
    <w:next w:val="Text1"/>
    <w:pPr>
      <w:ind w:left="850" w:hanging="850"/>
    </w:pPr>
  </w:style>
  <w:style w:type="paragraph" w:customStyle="1" w:styleId="ManualNumPar2">
    <w:name w:val="Manual NumPar 2"/>
    <w:basedOn w:val="Normalny"/>
    <w:next w:val="Text1"/>
    <w:pPr>
      <w:ind w:left="850" w:hanging="850"/>
    </w:pPr>
  </w:style>
  <w:style w:type="paragraph" w:customStyle="1" w:styleId="ManualNumPar3">
    <w:name w:val="Manual NumPar 3"/>
    <w:basedOn w:val="Normalny"/>
    <w:next w:val="Text1"/>
    <w:pPr>
      <w:ind w:left="850" w:hanging="850"/>
    </w:pPr>
  </w:style>
  <w:style w:type="paragraph" w:customStyle="1" w:styleId="ManualNumPar4">
    <w:name w:val="Manual NumPar 4"/>
    <w:basedOn w:val="Normalny"/>
    <w:next w:val="Text1"/>
    <w:pPr>
      <w:ind w:left="850" w:hanging="850"/>
    </w:pPr>
  </w:style>
  <w:style w:type="paragraph" w:customStyle="1" w:styleId="QuotedNumPar">
    <w:name w:val="Quoted NumPar"/>
    <w:basedOn w:val="Normalny"/>
    <w:pPr>
      <w:ind w:left="1417" w:hanging="567"/>
    </w:pPr>
  </w:style>
  <w:style w:type="paragraph" w:customStyle="1" w:styleId="ManualHeading1">
    <w:name w:val="Manual Heading 1"/>
    <w:basedOn w:val="Normalny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pPr>
      <w:jc w:val="center"/>
    </w:pPr>
    <w:rPr>
      <w:b/>
    </w:rPr>
  </w:style>
  <w:style w:type="character" w:customStyle="1" w:styleId="Marker">
    <w:name w:val="Marker"/>
    <w:basedOn w:val="Domylnaczcionkaakapitu"/>
    <w:rPr>
      <w:color w:val="0000FF"/>
      <w:shd w:val="clear" w:color="auto" w:fill="auto"/>
    </w:rPr>
  </w:style>
  <w:style w:type="character" w:customStyle="1" w:styleId="Marker1">
    <w:name w:val="Marker1"/>
    <w:basedOn w:val="Domylnaczcionkaakapitu"/>
    <w:rPr>
      <w:color w:val="008000"/>
      <w:shd w:val="clear" w:color="auto" w:fill="auto"/>
    </w:rPr>
  </w:style>
  <w:style w:type="character" w:customStyle="1" w:styleId="Marker2">
    <w:name w:val="Marker2"/>
    <w:basedOn w:val="Domylnaczcionkaakapitu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pPr>
      <w:numPr>
        <w:numId w:val="21"/>
      </w:numPr>
    </w:pPr>
  </w:style>
  <w:style w:type="paragraph" w:customStyle="1" w:styleId="Point1number">
    <w:name w:val="Point 1 (number)"/>
    <w:basedOn w:val="Normalny"/>
    <w:pPr>
      <w:numPr>
        <w:ilvl w:val="2"/>
        <w:numId w:val="21"/>
      </w:numPr>
    </w:pPr>
  </w:style>
  <w:style w:type="paragraph" w:customStyle="1" w:styleId="Point2number">
    <w:name w:val="Point 2 (number)"/>
    <w:basedOn w:val="Normalny"/>
    <w:pPr>
      <w:numPr>
        <w:ilvl w:val="4"/>
        <w:numId w:val="21"/>
      </w:numPr>
    </w:pPr>
  </w:style>
  <w:style w:type="paragraph" w:customStyle="1" w:styleId="Point3number">
    <w:name w:val="Point 3 (number)"/>
    <w:basedOn w:val="Normalny"/>
    <w:pPr>
      <w:numPr>
        <w:ilvl w:val="6"/>
        <w:numId w:val="21"/>
      </w:numPr>
    </w:pPr>
  </w:style>
  <w:style w:type="paragraph" w:customStyle="1" w:styleId="Point0letter">
    <w:name w:val="Point 0 (letter)"/>
    <w:basedOn w:val="Normalny"/>
    <w:pPr>
      <w:numPr>
        <w:ilvl w:val="1"/>
        <w:numId w:val="21"/>
      </w:numPr>
    </w:pPr>
  </w:style>
  <w:style w:type="paragraph" w:customStyle="1" w:styleId="Point1letter">
    <w:name w:val="Point 1 (letter)"/>
    <w:basedOn w:val="Normalny"/>
    <w:pPr>
      <w:numPr>
        <w:ilvl w:val="3"/>
        <w:numId w:val="21"/>
      </w:numPr>
    </w:pPr>
  </w:style>
  <w:style w:type="paragraph" w:customStyle="1" w:styleId="Point2letter">
    <w:name w:val="Point 2 (letter)"/>
    <w:basedOn w:val="Normalny"/>
    <w:pPr>
      <w:numPr>
        <w:ilvl w:val="5"/>
        <w:numId w:val="21"/>
      </w:numPr>
    </w:pPr>
  </w:style>
  <w:style w:type="paragraph" w:customStyle="1" w:styleId="Point3letter">
    <w:name w:val="Point 3 (letter)"/>
    <w:basedOn w:val="Normalny"/>
    <w:pPr>
      <w:numPr>
        <w:ilvl w:val="7"/>
        <w:numId w:val="21"/>
      </w:numPr>
    </w:pPr>
  </w:style>
  <w:style w:type="paragraph" w:customStyle="1" w:styleId="Point4letter">
    <w:name w:val="Point 4 (letter)"/>
    <w:basedOn w:val="Normalny"/>
    <w:pPr>
      <w:numPr>
        <w:ilvl w:val="8"/>
        <w:numId w:val="21"/>
      </w:numPr>
    </w:pPr>
  </w:style>
  <w:style w:type="paragraph" w:customStyle="1" w:styleId="Bullet0">
    <w:name w:val="Bullet 0"/>
    <w:basedOn w:val="Normalny"/>
    <w:pPr>
      <w:numPr>
        <w:numId w:val="22"/>
      </w:numPr>
    </w:pPr>
  </w:style>
  <w:style w:type="paragraph" w:customStyle="1" w:styleId="Bullet1">
    <w:name w:val="Bullet 1"/>
    <w:basedOn w:val="Normalny"/>
    <w:pPr>
      <w:numPr>
        <w:numId w:val="23"/>
      </w:numPr>
    </w:pPr>
  </w:style>
  <w:style w:type="paragraph" w:customStyle="1" w:styleId="Bullet2">
    <w:name w:val="Bullet 2"/>
    <w:basedOn w:val="Normalny"/>
    <w:pPr>
      <w:numPr>
        <w:numId w:val="24"/>
      </w:numPr>
    </w:pPr>
  </w:style>
  <w:style w:type="paragraph" w:customStyle="1" w:styleId="Bullet3">
    <w:name w:val="Bullet 3"/>
    <w:basedOn w:val="Normalny"/>
    <w:pPr>
      <w:numPr>
        <w:numId w:val="25"/>
      </w:numPr>
    </w:pPr>
  </w:style>
  <w:style w:type="paragraph" w:customStyle="1" w:styleId="Bullet4">
    <w:name w:val="Bullet 4"/>
    <w:basedOn w:val="Normalny"/>
    <w:pPr>
      <w:numPr>
        <w:numId w:val="26"/>
      </w:numPr>
    </w:pPr>
  </w:style>
  <w:style w:type="paragraph" w:customStyle="1" w:styleId="Annexetitreexpos">
    <w:name w:val="Annexe titre (exposé)"/>
    <w:basedOn w:val="Normalny"/>
    <w:next w:val="Normalny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pPr>
      <w:spacing w:before="480"/>
    </w:pPr>
  </w:style>
  <w:style w:type="paragraph" w:customStyle="1" w:styleId="Avertissementtitre">
    <w:name w:val="Avertissement titre"/>
    <w:basedOn w:val="Normalny"/>
    <w:next w:val="Normalny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pPr>
      <w:numPr>
        <w:numId w:val="27"/>
      </w:numPr>
    </w:pPr>
  </w:style>
  <w:style w:type="paragraph" w:customStyle="1" w:styleId="Corrigendum">
    <w:name w:val="Corrigendum"/>
    <w:basedOn w:val="Normalny"/>
    <w:next w:val="Normalny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pPr>
      <w:keepNext/>
    </w:pPr>
  </w:style>
  <w:style w:type="paragraph" w:customStyle="1" w:styleId="Institutionquiagit">
    <w:name w:val="Institution qui agit"/>
    <w:basedOn w:val="Normalny"/>
    <w:next w:val="Normalny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omylnaczcionkaakapitu"/>
    <w:rPr>
      <w:b/>
      <w:u w:val="single"/>
      <w:shd w:val="clear" w:color="auto" w:fill="auto"/>
    </w:rPr>
  </w:style>
  <w:style w:type="character" w:customStyle="1" w:styleId="Deleted">
    <w:name w:val="Deleted"/>
    <w:basedOn w:val="Domylnaczcionkaakapitu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Pr>
      <w:i/>
      <w:caps/>
    </w:rPr>
  </w:style>
  <w:style w:type="paragraph" w:customStyle="1" w:styleId="Pagedecouverture">
    <w:name w:val="Page de couverture"/>
    <w:basedOn w:val="Normalny"/>
    <w:next w:val="Normalny"/>
    <w:pPr>
      <w:spacing w:before="0" w:after="0"/>
    </w:pPr>
  </w:style>
  <w:style w:type="paragraph" w:customStyle="1" w:styleId="Supertitre">
    <w:name w:val="Supertitre"/>
    <w:basedOn w:val="Normalny"/>
    <w:next w:val="Normalny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pPr>
      <w:spacing w:before="360" w:after="0"/>
      <w:jc w:val="center"/>
    </w:pPr>
  </w:style>
  <w:style w:type="paragraph" w:customStyle="1" w:styleId="Rfrencecroise">
    <w:name w:val="Référence croisée"/>
    <w:basedOn w:val="Normalny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ny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pPr>
      <w:spacing w:after="240"/>
    </w:pPr>
  </w:style>
  <w:style w:type="paragraph" w:customStyle="1" w:styleId="Accompagnant">
    <w:name w:val="Accompagnant"/>
    <w:basedOn w:val="Normalny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ny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ny"/>
    <w:next w:val="Normalny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transport/sites/transport/files/facts-fundings/evaluations/doc/2016-ex-post-eval-road-transport-social-legislation-final-report.pdf" TargetMode="External"/><Relationship Id="rId2" Type="http://schemas.openxmlformats.org/officeDocument/2006/relationships/hyperlink" Target="http://ec.europa.eu/transport/modes/road/consultations/2016-social-legislation-road_en" TargetMode="External"/><Relationship Id="rId1" Type="http://schemas.openxmlformats.org/officeDocument/2006/relationships/hyperlink" Target="https://ec.europa.eu/transport/sites/transport/files/facts-fundings/evaluations/doc/2016-ex-post-eval-road-transport-social-legislation-final-report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C39E-750A-47DC-AD5E-C622E75E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0</TotalTime>
  <Pages>20</Pages>
  <Words>7137</Words>
  <Characters>42824</Characters>
  <Application>Microsoft Office Word</Application>
  <DocSecurity>0</DocSecurity>
  <Lines>356</Lines>
  <Paragraphs>99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49862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 Magdalena</dc:creator>
  <cp:lastModifiedBy>Anna Kowalczyk</cp:lastModifiedBy>
  <cp:revision>2</cp:revision>
  <cp:lastPrinted>2017-05-28T07:40:00Z</cp:lastPrinted>
  <dcterms:created xsi:type="dcterms:W3CDTF">2017-06-07T14:05:00Z</dcterms:created>
  <dcterms:modified xsi:type="dcterms:W3CDTF">2017-06-07T14:05:00Z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SJ-024</vt:lpwstr>
  </property>
  <property fmtid="{D5CDD505-2E9C-101B-9397-08002B2CF9AE}" pid="10" name="DQCStatus">
    <vt:lpwstr>Yellow (DQC version 03)</vt:lpwstr>
  </property>
</Properties>
</file>